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B9" w:rsidRDefault="009036EC">
      <w:pPr>
        <w:rPr>
          <w:rFonts w:ascii="Arial" w:hAnsi="Arial" w:cs="Arial"/>
          <w:b/>
          <w:sz w:val="28"/>
          <w:szCs w:val="28"/>
        </w:rPr>
      </w:pPr>
      <w:r>
        <w:rPr>
          <w:rFonts w:ascii="Arial" w:hAnsi="Arial" w:cs="Arial"/>
          <w:b/>
          <w:sz w:val="28"/>
          <w:szCs w:val="28"/>
        </w:rPr>
        <w:t xml:space="preserve">             </w:t>
      </w:r>
      <w:r w:rsidR="002751B9">
        <w:rPr>
          <w:rFonts w:ascii="Arial" w:hAnsi="Arial" w:cs="Arial"/>
          <w:b/>
          <w:sz w:val="28"/>
          <w:szCs w:val="28"/>
        </w:rPr>
        <w:t xml:space="preserve">                                                                                     </w:t>
      </w:r>
      <w:r w:rsidR="001D3EA7" w:rsidRPr="00346587">
        <w:rPr>
          <w:noProof/>
          <w:lang w:eastAsia="en-GB"/>
        </w:rPr>
        <w:drawing>
          <wp:inline distT="0" distB="0" distL="0" distR="0">
            <wp:extent cx="1304925" cy="1266825"/>
            <wp:effectExtent l="0" t="0" r="9525" b="9525"/>
            <wp:docPr id="1" name="Picture 1" descr="E:\res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car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66825"/>
                    </a:xfrm>
                    <a:prstGeom prst="rect">
                      <a:avLst/>
                    </a:prstGeom>
                    <a:noFill/>
                    <a:ln>
                      <a:noFill/>
                    </a:ln>
                  </pic:spPr>
                </pic:pic>
              </a:graphicData>
            </a:graphic>
          </wp:inline>
        </w:drawing>
      </w:r>
    </w:p>
    <w:p w:rsidR="009036EC" w:rsidRPr="004137D7" w:rsidRDefault="009036EC" w:rsidP="009036EC">
      <w:pPr>
        <w:rPr>
          <w:rFonts w:ascii="Arial" w:hAnsi="Arial" w:cs="Arial"/>
          <w:b/>
          <w:color w:val="548DD4"/>
          <w:sz w:val="28"/>
          <w:szCs w:val="28"/>
        </w:rPr>
      </w:pPr>
      <w:r w:rsidRPr="004137D7">
        <w:rPr>
          <w:rFonts w:ascii="Arial" w:hAnsi="Arial" w:cs="Arial"/>
          <w:b/>
          <w:color w:val="548DD4"/>
          <w:sz w:val="28"/>
          <w:szCs w:val="28"/>
        </w:rPr>
        <w:t>In summary</w:t>
      </w:r>
    </w:p>
    <w:p w:rsidR="00214277" w:rsidRDefault="00214277" w:rsidP="009036EC">
      <w:pPr>
        <w:rPr>
          <w:rFonts w:ascii="Arial" w:hAnsi="Arial" w:cs="Arial"/>
          <w:b/>
          <w:color w:val="548DD4"/>
          <w:sz w:val="28"/>
          <w:szCs w:val="28"/>
        </w:rPr>
      </w:pPr>
    </w:p>
    <w:p w:rsidR="00DD2083" w:rsidRPr="00214277" w:rsidRDefault="00214277" w:rsidP="00214277">
      <w:pPr>
        <w:numPr>
          <w:ilvl w:val="0"/>
          <w:numId w:val="16"/>
        </w:numPr>
        <w:rPr>
          <w:rFonts w:ascii="Arial" w:hAnsi="Arial" w:cs="Arial"/>
          <w:b/>
          <w:sz w:val="24"/>
          <w:szCs w:val="24"/>
        </w:rPr>
      </w:pPr>
      <w:r w:rsidRPr="00214277">
        <w:rPr>
          <w:rFonts w:ascii="Arial" w:hAnsi="Arial" w:cs="Arial"/>
          <w:b/>
          <w:sz w:val="24"/>
          <w:szCs w:val="24"/>
        </w:rPr>
        <w:t>Obesity is a serious problem for people with learning disability</w:t>
      </w:r>
    </w:p>
    <w:p w:rsidR="00B06706" w:rsidRPr="00214277" w:rsidRDefault="00DD2083" w:rsidP="00DD2083">
      <w:pPr>
        <w:numPr>
          <w:ilvl w:val="0"/>
          <w:numId w:val="16"/>
        </w:numPr>
        <w:rPr>
          <w:rFonts w:ascii="Arial" w:hAnsi="Arial" w:cs="Arial"/>
          <w:b/>
          <w:sz w:val="24"/>
          <w:szCs w:val="24"/>
        </w:rPr>
      </w:pPr>
      <w:r w:rsidRPr="00214277">
        <w:rPr>
          <w:rFonts w:ascii="Arial" w:hAnsi="Arial" w:cs="Arial"/>
          <w:b/>
          <w:sz w:val="24"/>
          <w:szCs w:val="24"/>
        </w:rPr>
        <w:t>Eating is not just about nutrition</w:t>
      </w:r>
    </w:p>
    <w:p w:rsidR="00DD2083" w:rsidRDefault="003D797E" w:rsidP="00DD2083">
      <w:pPr>
        <w:numPr>
          <w:ilvl w:val="0"/>
          <w:numId w:val="16"/>
        </w:numPr>
        <w:rPr>
          <w:rFonts w:ascii="Arial" w:hAnsi="Arial" w:cs="Arial"/>
          <w:b/>
          <w:sz w:val="24"/>
          <w:szCs w:val="24"/>
        </w:rPr>
      </w:pPr>
      <w:r>
        <w:rPr>
          <w:rFonts w:ascii="Arial" w:hAnsi="Arial" w:cs="Arial"/>
          <w:b/>
          <w:sz w:val="24"/>
          <w:szCs w:val="24"/>
        </w:rPr>
        <w:t xml:space="preserve">Choice </w:t>
      </w:r>
      <w:r w:rsidR="00DD2083" w:rsidRPr="00214277">
        <w:rPr>
          <w:rFonts w:ascii="Arial" w:hAnsi="Arial" w:cs="Arial"/>
          <w:b/>
          <w:sz w:val="24"/>
          <w:szCs w:val="24"/>
        </w:rPr>
        <w:t>should be informed not</w:t>
      </w:r>
      <w:r w:rsidR="00DD2083">
        <w:rPr>
          <w:rFonts w:ascii="Arial" w:hAnsi="Arial" w:cs="Arial"/>
          <w:b/>
          <w:sz w:val="24"/>
          <w:szCs w:val="24"/>
        </w:rPr>
        <w:t xml:space="preserve"> blindly following a</w:t>
      </w:r>
      <w:r w:rsidR="00CE283B">
        <w:rPr>
          <w:rFonts w:ascii="Arial" w:hAnsi="Arial" w:cs="Arial"/>
          <w:b/>
          <w:sz w:val="24"/>
          <w:szCs w:val="24"/>
        </w:rPr>
        <w:t xml:space="preserve">n expressed </w:t>
      </w:r>
      <w:r w:rsidR="00DD2083">
        <w:rPr>
          <w:rFonts w:ascii="Arial" w:hAnsi="Arial" w:cs="Arial"/>
          <w:b/>
          <w:sz w:val="24"/>
          <w:szCs w:val="24"/>
        </w:rPr>
        <w:t xml:space="preserve"> whim</w:t>
      </w:r>
    </w:p>
    <w:p w:rsidR="00DD2083" w:rsidRDefault="000837C1" w:rsidP="00DD2083">
      <w:pPr>
        <w:numPr>
          <w:ilvl w:val="0"/>
          <w:numId w:val="16"/>
        </w:numPr>
        <w:rPr>
          <w:rFonts w:ascii="Arial" w:hAnsi="Arial" w:cs="Arial"/>
          <w:b/>
          <w:sz w:val="24"/>
          <w:szCs w:val="24"/>
        </w:rPr>
      </w:pPr>
      <w:r>
        <w:rPr>
          <w:rFonts w:ascii="Arial" w:hAnsi="Arial" w:cs="Arial"/>
          <w:b/>
          <w:sz w:val="24"/>
          <w:szCs w:val="24"/>
        </w:rPr>
        <w:t>Healthy eating h</w:t>
      </w:r>
      <w:r w:rsidR="00DD2083">
        <w:rPr>
          <w:rFonts w:ascii="Arial" w:hAnsi="Arial" w:cs="Arial"/>
          <w:b/>
          <w:sz w:val="24"/>
          <w:szCs w:val="24"/>
        </w:rPr>
        <w:t>abits can take months to form</w:t>
      </w:r>
    </w:p>
    <w:p w:rsidR="00DD2083" w:rsidRDefault="00DD2083" w:rsidP="00DD2083">
      <w:pPr>
        <w:numPr>
          <w:ilvl w:val="0"/>
          <w:numId w:val="16"/>
        </w:numPr>
        <w:rPr>
          <w:rFonts w:ascii="Arial" w:hAnsi="Arial" w:cs="Arial"/>
          <w:b/>
          <w:sz w:val="24"/>
          <w:szCs w:val="24"/>
        </w:rPr>
      </w:pPr>
      <w:r>
        <w:rPr>
          <w:rFonts w:ascii="Arial" w:hAnsi="Arial" w:cs="Arial"/>
          <w:b/>
          <w:sz w:val="24"/>
          <w:szCs w:val="24"/>
        </w:rPr>
        <w:t>An interest in food and cooking is beneficial</w:t>
      </w:r>
    </w:p>
    <w:p w:rsidR="00DD2083" w:rsidRDefault="00DD2083" w:rsidP="00DD2083">
      <w:pPr>
        <w:numPr>
          <w:ilvl w:val="0"/>
          <w:numId w:val="16"/>
        </w:numPr>
        <w:rPr>
          <w:rFonts w:ascii="Arial" w:hAnsi="Arial" w:cs="Arial"/>
          <w:b/>
          <w:sz w:val="24"/>
          <w:szCs w:val="24"/>
        </w:rPr>
      </w:pPr>
      <w:r>
        <w:rPr>
          <w:rFonts w:ascii="Arial" w:hAnsi="Arial" w:cs="Arial"/>
          <w:b/>
          <w:sz w:val="24"/>
          <w:szCs w:val="24"/>
        </w:rPr>
        <w:t>Prevention of obesity is about the whole style of living</w:t>
      </w:r>
    </w:p>
    <w:p w:rsidR="00DD2083" w:rsidRDefault="00DD2083" w:rsidP="00DD2083">
      <w:pPr>
        <w:numPr>
          <w:ilvl w:val="0"/>
          <w:numId w:val="16"/>
        </w:numPr>
        <w:rPr>
          <w:rFonts w:ascii="Arial" w:hAnsi="Arial" w:cs="Arial"/>
          <w:b/>
          <w:sz w:val="24"/>
          <w:szCs w:val="24"/>
        </w:rPr>
      </w:pPr>
      <w:r>
        <w:rPr>
          <w:rFonts w:ascii="Arial" w:hAnsi="Arial" w:cs="Arial"/>
          <w:b/>
          <w:sz w:val="24"/>
          <w:szCs w:val="24"/>
        </w:rPr>
        <w:t>Carers are the key to good practice</w:t>
      </w:r>
    </w:p>
    <w:p w:rsidR="003D797E" w:rsidRPr="004137D7" w:rsidRDefault="003D797E" w:rsidP="003D797E">
      <w:pPr>
        <w:ind w:left="60"/>
        <w:rPr>
          <w:rFonts w:ascii="Arial" w:hAnsi="Arial" w:cs="Arial"/>
          <w:b/>
          <w:color w:val="548DD4"/>
          <w:sz w:val="28"/>
          <w:szCs w:val="28"/>
          <w:u w:val="single"/>
        </w:rPr>
      </w:pPr>
    </w:p>
    <w:p w:rsidR="003D797E" w:rsidRPr="004137D7" w:rsidRDefault="003D797E" w:rsidP="00DD2083">
      <w:pPr>
        <w:ind w:left="60"/>
        <w:rPr>
          <w:rFonts w:ascii="Arial" w:hAnsi="Arial" w:cs="Arial"/>
          <w:b/>
          <w:color w:val="548DD4"/>
          <w:sz w:val="28"/>
          <w:szCs w:val="28"/>
        </w:rPr>
      </w:pPr>
      <w:r w:rsidRPr="004137D7">
        <w:rPr>
          <w:rFonts w:ascii="Arial" w:hAnsi="Arial" w:cs="Arial"/>
          <w:b/>
          <w:color w:val="548DD4"/>
          <w:sz w:val="28"/>
          <w:szCs w:val="28"/>
        </w:rPr>
        <w:t>Background</w:t>
      </w:r>
    </w:p>
    <w:p w:rsidR="000837C1" w:rsidRPr="003D797E" w:rsidRDefault="000837C1" w:rsidP="00DD2083">
      <w:pPr>
        <w:ind w:left="60"/>
        <w:rPr>
          <w:color w:val="31849B"/>
          <w:sz w:val="28"/>
          <w:szCs w:val="28"/>
        </w:rPr>
      </w:pPr>
    </w:p>
    <w:p w:rsidR="003D797E" w:rsidRDefault="003D797E" w:rsidP="00DD2083">
      <w:pPr>
        <w:ind w:left="60"/>
      </w:pPr>
    </w:p>
    <w:p w:rsidR="003D797E" w:rsidRPr="002402BB" w:rsidRDefault="003D797E" w:rsidP="000837C1">
      <w:pPr>
        <w:rPr>
          <w:rFonts w:ascii="Arial" w:hAnsi="Arial" w:cs="Arial"/>
        </w:rPr>
      </w:pPr>
      <w:r w:rsidRPr="002402BB">
        <w:rPr>
          <w:rFonts w:ascii="Arial" w:hAnsi="Arial" w:cs="Arial"/>
        </w:rPr>
        <w:t>A report from Public Health England in 2013 on Obesity and Disability reported that obesity in adults is associated with the four most prevalent disabling conditions in the UK: arthritis, back pain, mental health disorders and learning disabilities</w:t>
      </w:r>
      <w:r w:rsidR="005E1094" w:rsidRPr="002402BB">
        <w:rPr>
          <w:rFonts w:ascii="Arial" w:hAnsi="Arial" w:cs="Arial"/>
        </w:rPr>
        <w:t xml:space="preserve">. </w:t>
      </w:r>
      <w:r w:rsidR="00214277" w:rsidRPr="002402BB">
        <w:rPr>
          <w:rFonts w:ascii="Arial" w:hAnsi="Arial" w:cs="Arial"/>
        </w:rPr>
        <w:t xml:space="preserve">It is estimated that around 23% of children with learning disabilities are obese there is evidence that rates of obesity in adults with learning disabilities can </w:t>
      </w:r>
      <w:r w:rsidR="004137D7" w:rsidRPr="002402BB">
        <w:rPr>
          <w:rFonts w:ascii="Arial" w:hAnsi="Arial" w:cs="Arial"/>
        </w:rPr>
        <w:t>be up</w:t>
      </w:r>
      <w:r w:rsidR="005E1094" w:rsidRPr="002402BB">
        <w:rPr>
          <w:rFonts w:ascii="Arial" w:hAnsi="Arial" w:cs="Arial"/>
        </w:rPr>
        <w:t xml:space="preserve"> to </w:t>
      </w:r>
      <w:r w:rsidR="00214277" w:rsidRPr="002402BB">
        <w:rPr>
          <w:rFonts w:ascii="Arial" w:hAnsi="Arial" w:cs="Arial"/>
        </w:rPr>
        <w:t xml:space="preserve">50%. </w:t>
      </w:r>
      <w:r w:rsidRPr="002402BB">
        <w:rPr>
          <w:rFonts w:ascii="Arial" w:hAnsi="Arial" w:cs="Arial"/>
        </w:rPr>
        <w:t xml:space="preserve">Physical inactivity, unhealthy diets, and weight gain from medication are all factors that </w:t>
      </w:r>
      <w:r w:rsidR="00CE283B">
        <w:rPr>
          <w:rFonts w:ascii="Arial" w:hAnsi="Arial" w:cs="Arial"/>
        </w:rPr>
        <w:t xml:space="preserve">contribute to the problem. </w:t>
      </w:r>
      <w:r w:rsidR="004137D7">
        <w:rPr>
          <w:rFonts w:ascii="Arial" w:hAnsi="Arial" w:cs="Arial"/>
        </w:rPr>
        <w:t>This matters</w:t>
      </w:r>
      <w:r w:rsidRPr="002402BB">
        <w:rPr>
          <w:rFonts w:ascii="Arial" w:hAnsi="Arial" w:cs="Arial"/>
        </w:rPr>
        <w:t xml:space="preserve"> because </w:t>
      </w:r>
      <w:r w:rsidR="000837C1">
        <w:rPr>
          <w:rFonts w:ascii="Arial" w:hAnsi="Arial" w:cs="Arial"/>
        </w:rPr>
        <w:t>heath implications can be</w:t>
      </w:r>
      <w:r w:rsidRPr="002402BB">
        <w:rPr>
          <w:rFonts w:ascii="Arial" w:hAnsi="Arial" w:cs="Arial"/>
        </w:rPr>
        <w:t xml:space="preserve"> can be profound.</w:t>
      </w:r>
    </w:p>
    <w:p w:rsidR="000837C1" w:rsidRDefault="000837C1" w:rsidP="000837C1">
      <w:pPr>
        <w:rPr>
          <w:rFonts w:ascii="Arial" w:hAnsi="Arial" w:cs="Arial"/>
        </w:rPr>
      </w:pPr>
    </w:p>
    <w:p w:rsidR="00DD2083" w:rsidRPr="002402BB" w:rsidRDefault="0009124F" w:rsidP="000837C1">
      <w:pPr>
        <w:rPr>
          <w:rFonts w:ascii="Arial" w:hAnsi="Arial" w:cs="Arial"/>
        </w:rPr>
      </w:pPr>
      <w:r w:rsidRPr="002402BB">
        <w:rPr>
          <w:rFonts w:ascii="Arial" w:hAnsi="Arial" w:cs="Arial"/>
        </w:rPr>
        <w:t>However t</w:t>
      </w:r>
      <w:r w:rsidR="005E1094" w:rsidRPr="002402BB">
        <w:rPr>
          <w:rFonts w:ascii="Arial" w:hAnsi="Arial" w:cs="Arial"/>
        </w:rPr>
        <w:t>here is minimal evidence from controlled studies on which obesity interventions are effective for individuals with disabilities. This lack of evidence contributes to the inequalities around outcomes and accessing services experienced by individuals with these conditions</w:t>
      </w:r>
      <w:r w:rsidR="007026D2" w:rsidRPr="002402BB">
        <w:rPr>
          <w:rFonts w:ascii="Arial" w:hAnsi="Arial" w:cs="Arial"/>
          <w:vertAlign w:val="superscript"/>
        </w:rPr>
        <w:t>1</w:t>
      </w:r>
      <w:r w:rsidR="000837C1">
        <w:rPr>
          <w:rFonts w:ascii="Arial" w:hAnsi="Arial" w:cs="Arial"/>
          <w:vertAlign w:val="superscript"/>
        </w:rPr>
        <w:t xml:space="preserve">  </w:t>
      </w:r>
    </w:p>
    <w:p w:rsidR="00214277" w:rsidRDefault="00214277" w:rsidP="000837C1">
      <w:pPr>
        <w:ind w:left="60"/>
      </w:pPr>
    </w:p>
    <w:p w:rsidR="007026D2" w:rsidRPr="00CE283B" w:rsidRDefault="005E1094" w:rsidP="00DD2083">
      <w:pPr>
        <w:rPr>
          <w:rFonts w:ascii="Arial" w:hAnsi="Arial" w:cs="Arial"/>
          <w:shd w:val="clear" w:color="auto" w:fill="FFFFFF"/>
        </w:rPr>
      </w:pPr>
      <w:r w:rsidRPr="005E1094">
        <w:rPr>
          <w:rFonts w:ascii="Arial" w:hAnsi="Arial" w:cs="Arial"/>
          <w:color w:val="0B0C0C"/>
          <w:shd w:val="clear" w:color="auto" w:fill="FFFFFF"/>
        </w:rPr>
        <w:t xml:space="preserve">As noted </w:t>
      </w:r>
      <w:r w:rsidRPr="007026D2">
        <w:rPr>
          <w:rFonts w:ascii="Arial" w:hAnsi="Arial" w:cs="Arial"/>
          <w:shd w:val="clear" w:color="auto" w:fill="FFFFFF"/>
        </w:rPr>
        <w:t>in the </w:t>
      </w:r>
      <w:r w:rsidR="007026D2">
        <w:rPr>
          <w:rFonts w:ascii="Arial" w:hAnsi="Arial" w:cs="Arial"/>
          <w:shd w:val="clear" w:color="auto" w:fill="FFFFFF"/>
        </w:rPr>
        <w:t>Public Health England 2020-2025 strategy po</w:t>
      </w:r>
      <w:r w:rsidRPr="005E1094">
        <w:rPr>
          <w:rFonts w:ascii="Arial" w:hAnsi="Arial" w:cs="Arial"/>
          <w:color w:val="0B0C0C"/>
          <w:shd w:val="clear" w:color="auto" w:fill="FFFFFF"/>
        </w:rPr>
        <w:t>or diets and excess body weight deprive people in England of more than 2.4 million life years through premature mortality, illness and disability each year. There are close links to broader social disadvantage, such as poverty, poor housing and social isolation, which is experienced disproportionately by people with learning disabilities.</w:t>
      </w:r>
      <w:r w:rsidR="000837C1" w:rsidRPr="000837C1">
        <w:rPr>
          <w:rFonts w:ascii="Arial" w:hAnsi="Arial" w:cs="Arial"/>
          <w:color w:val="0B0C0C"/>
          <w:shd w:val="clear" w:color="auto" w:fill="FFFFFF"/>
          <w:vertAlign w:val="superscript"/>
        </w:rPr>
        <w:t xml:space="preserve"> </w:t>
      </w:r>
      <w:r w:rsidR="000837C1">
        <w:rPr>
          <w:rFonts w:ascii="Arial" w:hAnsi="Arial" w:cs="Arial"/>
          <w:color w:val="0B0C0C"/>
          <w:shd w:val="clear" w:color="auto" w:fill="FFFFFF"/>
          <w:vertAlign w:val="superscript"/>
        </w:rPr>
        <w:t>2</w:t>
      </w:r>
      <w:r w:rsidR="00CE283B">
        <w:rPr>
          <w:rFonts w:ascii="Arial" w:hAnsi="Arial" w:cs="Arial"/>
          <w:color w:val="0B0C0C"/>
          <w:shd w:val="clear" w:color="auto" w:fill="FFFFFF"/>
        </w:rPr>
        <w:t xml:space="preserve">. General practitioner learning disability registers are rarely complete. In 2018 </w:t>
      </w:r>
      <w:r w:rsidR="00CE283B">
        <w:rPr>
          <w:rFonts w:ascii="Arial" w:hAnsi="Arial" w:cs="Arial"/>
        </w:rPr>
        <w:t>o</w:t>
      </w:r>
      <w:r w:rsidR="00CE283B" w:rsidRPr="00CE283B">
        <w:rPr>
          <w:rFonts w:ascii="Arial" w:hAnsi="Arial" w:cs="Arial"/>
        </w:rPr>
        <w:t>nly around a quarter to a third of the estimated number of peop</w:t>
      </w:r>
      <w:r w:rsidR="00CE283B">
        <w:rPr>
          <w:rFonts w:ascii="Arial" w:hAnsi="Arial" w:cs="Arial"/>
        </w:rPr>
        <w:t>le with a learning disability wer</w:t>
      </w:r>
      <w:r w:rsidR="00CE283B" w:rsidRPr="00CE283B">
        <w:rPr>
          <w:rFonts w:ascii="Arial" w:hAnsi="Arial" w:cs="Arial"/>
        </w:rPr>
        <w:t>e on a GP register. This means appropriate adjustments to their health care cannot be delivered – for example unless a person is on a GP</w:t>
      </w:r>
      <w:r w:rsidR="00172E7E">
        <w:rPr>
          <w:rFonts w:ascii="Arial" w:hAnsi="Arial" w:cs="Arial"/>
        </w:rPr>
        <w:t xml:space="preserve"> learning disability </w:t>
      </w:r>
      <w:r w:rsidR="00CE283B" w:rsidRPr="00CE283B">
        <w:rPr>
          <w:rFonts w:ascii="Arial" w:hAnsi="Arial" w:cs="Arial"/>
        </w:rPr>
        <w:t xml:space="preserve"> register they are not eligible for a learning disability annual health check.</w:t>
      </w:r>
      <w:r w:rsidR="00CE283B">
        <w:rPr>
          <w:rFonts w:ascii="Arial" w:hAnsi="Arial" w:cs="Arial"/>
          <w:vertAlign w:val="superscript"/>
        </w:rPr>
        <w:t>3</w:t>
      </w:r>
      <w:r w:rsidR="00CE283B">
        <w:rPr>
          <w:rFonts w:ascii="Arial" w:hAnsi="Arial" w:cs="Arial"/>
        </w:rPr>
        <w:t xml:space="preserve"> Annual health checks are a vital tool in monitoring health and wellbeing and so identifying potential problems in weight before ill health strikes.</w:t>
      </w:r>
    </w:p>
    <w:p w:rsidR="0009124F" w:rsidRPr="0009124F" w:rsidRDefault="0009124F" w:rsidP="0009124F">
      <w:pPr>
        <w:shd w:val="clear" w:color="auto" w:fill="FFFFFF"/>
        <w:spacing w:before="300" w:after="300"/>
        <w:rPr>
          <w:rFonts w:ascii="Arial" w:eastAsia="Times New Roman" w:hAnsi="Arial" w:cs="Arial"/>
          <w:color w:val="0B0C0C"/>
          <w:lang w:eastAsia="en-GB"/>
        </w:rPr>
      </w:pPr>
      <w:r w:rsidRPr="0009124F">
        <w:rPr>
          <w:rFonts w:ascii="Arial" w:eastAsia="Times New Roman" w:hAnsi="Arial" w:cs="Arial"/>
          <w:color w:val="0B0C0C"/>
          <w:lang w:eastAsia="en-GB"/>
        </w:rPr>
        <w:t>Being obese puts people at much greater risk of many important health problems including:</w:t>
      </w:r>
    </w:p>
    <w:p w:rsidR="0009124F" w:rsidRPr="0009124F" w:rsidRDefault="0009124F" w:rsidP="0009124F">
      <w:pPr>
        <w:numPr>
          <w:ilvl w:val="0"/>
          <w:numId w:val="17"/>
        </w:numPr>
        <w:shd w:val="clear" w:color="auto" w:fill="FFFFFF"/>
        <w:spacing w:after="75"/>
        <w:ind w:left="300"/>
        <w:rPr>
          <w:rFonts w:ascii="Arial" w:eastAsia="Times New Roman" w:hAnsi="Arial" w:cs="Arial"/>
          <w:color w:val="0B0C0C"/>
          <w:lang w:eastAsia="en-GB"/>
        </w:rPr>
      </w:pPr>
      <w:r w:rsidRPr="0009124F">
        <w:rPr>
          <w:rFonts w:ascii="Arial" w:eastAsia="Times New Roman" w:hAnsi="Arial" w:cs="Arial"/>
          <w:color w:val="0B0C0C"/>
          <w:lang w:eastAsia="en-GB"/>
        </w:rPr>
        <w:t>heart disease</w:t>
      </w:r>
    </w:p>
    <w:p w:rsidR="0009124F" w:rsidRPr="0009124F" w:rsidRDefault="0009124F" w:rsidP="0009124F">
      <w:pPr>
        <w:numPr>
          <w:ilvl w:val="0"/>
          <w:numId w:val="17"/>
        </w:numPr>
        <w:shd w:val="clear" w:color="auto" w:fill="FFFFFF"/>
        <w:spacing w:after="75"/>
        <w:ind w:left="300"/>
        <w:rPr>
          <w:rFonts w:ascii="Arial" w:eastAsia="Times New Roman" w:hAnsi="Arial" w:cs="Arial"/>
          <w:color w:val="0B0C0C"/>
          <w:lang w:eastAsia="en-GB"/>
        </w:rPr>
      </w:pPr>
      <w:r w:rsidRPr="0009124F">
        <w:rPr>
          <w:rFonts w:ascii="Arial" w:eastAsia="Times New Roman" w:hAnsi="Arial" w:cs="Arial"/>
          <w:color w:val="0B0C0C"/>
          <w:lang w:eastAsia="en-GB"/>
        </w:rPr>
        <w:t>high blood pressure</w:t>
      </w:r>
    </w:p>
    <w:p w:rsidR="0009124F" w:rsidRPr="0009124F" w:rsidRDefault="0009124F" w:rsidP="0009124F">
      <w:pPr>
        <w:numPr>
          <w:ilvl w:val="0"/>
          <w:numId w:val="17"/>
        </w:numPr>
        <w:shd w:val="clear" w:color="auto" w:fill="FFFFFF"/>
        <w:spacing w:after="75"/>
        <w:ind w:left="300"/>
        <w:rPr>
          <w:rFonts w:ascii="Arial" w:eastAsia="Times New Roman" w:hAnsi="Arial" w:cs="Arial"/>
          <w:color w:val="0B0C0C"/>
          <w:lang w:eastAsia="en-GB"/>
        </w:rPr>
      </w:pPr>
      <w:r w:rsidRPr="0009124F">
        <w:rPr>
          <w:rFonts w:ascii="Arial" w:eastAsia="Times New Roman" w:hAnsi="Arial" w:cs="Arial"/>
          <w:color w:val="0B0C0C"/>
          <w:lang w:eastAsia="en-GB"/>
        </w:rPr>
        <w:t>strokes</w:t>
      </w:r>
    </w:p>
    <w:p w:rsidR="0009124F" w:rsidRPr="0009124F" w:rsidRDefault="0009124F" w:rsidP="0009124F">
      <w:pPr>
        <w:numPr>
          <w:ilvl w:val="0"/>
          <w:numId w:val="17"/>
        </w:numPr>
        <w:shd w:val="clear" w:color="auto" w:fill="FFFFFF"/>
        <w:spacing w:after="75"/>
        <w:ind w:left="300"/>
        <w:rPr>
          <w:rFonts w:ascii="Arial" w:eastAsia="Times New Roman" w:hAnsi="Arial" w:cs="Arial"/>
          <w:color w:val="0B0C0C"/>
          <w:lang w:eastAsia="en-GB"/>
        </w:rPr>
      </w:pPr>
      <w:r w:rsidRPr="0009124F">
        <w:rPr>
          <w:rFonts w:ascii="Arial" w:eastAsia="Times New Roman" w:hAnsi="Arial" w:cs="Arial"/>
          <w:color w:val="0B0C0C"/>
          <w:lang w:eastAsia="en-GB"/>
        </w:rPr>
        <w:t>diabetes</w:t>
      </w:r>
    </w:p>
    <w:p w:rsidR="0009124F" w:rsidRPr="0009124F" w:rsidRDefault="0009124F" w:rsidP="0009124F">
      <w:pPr>
        <w:numPr>
          <w:ilvl w:val="0"/>
          <w:numId w:val="17"/>
        </w:numPr>
        <w:shd w:val="clear" w:color="auto" w:fill="FFFFFF"/>
        <w:spacing w:after="75"/>
        <w:ind w:left="300"/>
        <w:rPr>
          <w:rFonts w:ascii="Arial" w:eastAsia="Times New Roman" w:hAnsi="Arial" w:cs="Arial"/>
          <w:color w:val="0B0C0C"/>
          <w:lang w:eastAsia="en-GB"/>
        </w:rPr>
      </w:pPr>
      <w:r w:rsidRPr="0009124F">
        <w:rPr>
          <w:rFonts w:ascii="Arial" w:eastAsia="Times New Roman" w:hAnsi="Arial" w:cs="Arial"/>
          <w:color w:val="0B0C0C"/>
          <w:lang w:eastAsia="en-GB"/>
        </w:rPr>
        <w:t>several types of cancer</w:t>
      </w:r>
    </w:p>
    <w:p w:rsidR="0009124F" w:rsidRPr="0009124F" w:rsidRDefault="0009124F" w:rsidP="0009124F">
      <w:pPr>
        <w:numPr>
          <w:ilvl w:val="0"/>
          <w:numId w:val="17"/>
        </w:numPr>
        <w:shd w:val="clear" w:color="auto" w:fill="FFFFFF"/>
        <w:spacing w:after="75"/>
        <w:ind w:left="300"/>
        <w:rPr>
          <w:rFonts w:ascii="Arial" w:eastAsia="Times New Roman" w:hAnsi="Arial" w:cs="Arial"/>
          <w:color w:val="0B0C0C"/>
          <w:lang w:eastAsia="en-GB"/>
        </w:rPr>
      </w:pPr>
      <w:r w:rsidRPr="0009124F">
        <w:rPr>
          <w:rFonts w:ascii="Arial" w:eastAsia="Times New Roman" w:hAnsi="Arial" w:cs="Arial"/>
          <w:color w:val="0B0C0C"/>
          <w:lang w:eastAsia="en-GB"/>
        </w:rPr>
        <w:lastRenderedPageBreak/>
        <w:t>mobility difficultie</w:t>
      </w:r>
      <w:r w:rsidRPr="00BD3A47">
        <w:rPr>
          <w:rFonts w:ascii="Arial" w:eastAsia="Times New Roman" w:hAnsi="Arial" w:cs="Arial"/>
          <w:lang w:eastAsia="en-GB"/>
        </w:rPr>
        <w:t>s</w:t>
      </w:r>
      <w:r w:rsidR="00BD3A47" w:rsidRPr="00BD3A47">
        <w:rPr>
          <w:rFonts w:ascii="Arial" w:hAnsi="Arial" w:cs="Arial"/>
          <w:shd w:val="clear" w:color="auto" w:fill="FFFFFF"/>
          <w:vertAlign w:val="superscript"/>
        </w:rPr>
        <w:t>4</w:t>
      </w:r>
    </w:p>
    <w:p w:rsidR="00F35C4E" w:rsidRDefault="00F35C4E" w:rsidP="00DD2083">
      <w:pPr>
        <w:rPr>
          <w:rFonts w:ascii="Arial" w:hAnsi="Arial" w:cs="Arial"/>
          <w:color w:val="0B0C0C"/>
          <w:shd w:val="clear" w:color="auto" w:fill="FFFFFF"/>
        </w:rPr>
      </w:pPr>
    </w:p>
    <w:p w:rsidR="00A55F24" w:rsidRDefault="000837C1" w:rsidP="00A55F24">
      <w:pPr>
        <w:rPr>
          <w:rFonts w:ascii="Arial" w:hAnsi="Arial" w:cs="Arial"/>
          <w:color w:val="0B0C0C"/>
          <w:shd w:val="clear" w:color="auto" w:fill="FFFFFF"/>
        </w:rPr>
      </w:pPr>
      <w:r>
        <w:rPr>
          <w:rFonts w:ascii="Arial" w:hAnsi="Arial" w:cs="Arial"/>
          <w:color w:val="0B0C0C"/>
          <w:shd w:val="clear" w:color="auto" w:fill="FFFFFF"/>
        </w:rPr>
        <w:t xml:space="preserve">Despite </w:t>
      </w:r>
      <w:r w:rsidR="00F35C4E">
        <w:rPr>
          <w:rFonts w:ascii="Arial" w:hAnsi="Arial" w:cs="Arial"/>
          <w:color w:val="0B0C0C"/>
          <w:shd w:val="clear" w:color="auto" w:fill="FFFFFF"/>
        </w:rPr>
        <w:t xml:space="preserve">the limited amount of evidence from controlled studies </w:t>
      </w:r>
      <w:r w:rsidR="00CE283B">
        <w:rPr>
          <w:rFonts w:ascii="Arial" w:hAnsi="Arial" w:cs="Arial"/>
          <w:color w:val="0B0C0C"/>
          <w:shd w:val="clear" w:color="auto" w:fill="FFFFFF"/>
        </w:rPr>
        <w:t xml:space="preserve">fortunately </w:t>
      </w:r>
      <w:r w:rsidR="00F35C4E">
        <w:rPr>
          <w:rFonts w:ascii="Arial" w:hAnsi="Arial" w:cs="Arial"/>
          <w:color w:val="0B0C0C"/>
          <w:shd w:val="clear" w:color="auto" w:fill="FFFFFF"/>
        </w:rPr>
        <w:t xml:space="preserve">there is </w:t>
      </w:r>
      <w:r w:rsidR="00A55F24">
        <w:rPr>
          <w:rFonts w:ascii="Arial" w:hAnsi="Arial" w:cs="Arial"/>
          <w:color w:val="0B0C0C"/>
          <w:shd w:val="clear" w:color="auto" w:fill="FFFFFF"/>
        </w:rPr>
        <w:t>a considerable body of</w:t>
      </w:r>
      <w:r w:rsidR="00F35C4E">
        <w:rPr>
          <w:rFonts w:ascii="Arial" w:hAnsi="Arial" w:cs="Arial"/>
          <w:color w:val="0B0C0C"/>
          <w:shd w:val="clear" w:color="auto" w:fill="FFFFFF"/>
        </w:rPr>
        <w:t xml:space="preserve"> well found guidance from credible sources.</w:t>
      </w:r>
    </w:p>
    <w:p w:rsidR="00A55F24" w:rsidRDefault="00A55F24" w:rsidP="00A55F24">
      <w:pPr>
        <w:rPr>
          <w:rFonts w:ascii="Arial" w:hAnsi="Arial" w:cs="Arial"/>
          <w:color w:val="0B0C0C"/>
          <w:shd w:val="clear" w:color="auto" w:fill="FFFFFF"/>
        </w:rPr>
      </w:pPr>
    </w:p>
    <w:p w:rsidR="00A55F24" w:rsidRDefault="00A55F24" w:rsidP="00A55F24">
      <w:pPr>
        <w:rPr>
          <w:rFonts w:ascii="Arial" w:hAnsi="Arial" w:cs="Arial"/>
          <w:color w:val="0B0C0C"/>
          <w:shd w:val="clear" w:color="auto" w:fill="FFFFFF"/>
        </w:rPr>
      </w:pPr>
    </w:p>
    <w:p w:rsidR="00F35C4E" w:rsidRPr="004137D7" w:rsidRDefault="00F35C4E" w:rsidP="00A55F24">
      <w:pPr>
        <w:rPr>
          <w:rFonts w:ascii="Arial" w:hAnsi="Arial" w:cs="Arial"/>
          <w:b/>
          <w:color w:val="4F81BD"/>
          <w:shd w:val="clear" w:color="auto" w:fill="FFFFFF"/>
        </w:rPr>
      </w:pPr>
      <w:r w:rsidRPr="004137D7">
        <w:rPr>
          <w:rFonts w:ascii="Arial" w:hAnsi="Arial" w:cs="Arial"/>
          <w:b/>
          <w:color w:val="4F81BD"/>
          <w:sz w:val="28"/>
          <w:szCs w:val="28"/>
        </w:rPr>
        <w:t>Capacity and choice around diet and physical activity</w:t>
      </w:r>
      <w:r w:rsidR="00BD3A47" w:rsidRPr="004137D7">
        <w:rPr>
          <w:rFonts w:ascii="Arial" w:hAnsi="Arial" w:cs="Arial"/>
          <w:b/>
          <w:color w:val="4F81BD"/>
          <w:shd w:val="clear" w:color="auto" w:fill="FFFFFF"/>
          <w:vertAlign w:val="superscript"/>
        </w:rPr>
        <w:t>4</w:t>
      </w:r>
    </w:p>
    <w:p w:rsidR="00F35C4E" w:rsidRPr="00F35C4E" w:rsidRDefault="00F35C4E" w:rsidP="00F35C4E">
      <w:pPr>
        <w:pStyle w:val="NormalWeb"/>
        <w:shd w:val="clear" w:color="auto" w:fill="FFFFFF"/>
        <w:spacing w:before="300" w:beforeAutospacing="0" w:after="300" w:afterAutospacing="0"/>
        <w:rPr>
          <w:rFonts w:ascii="Arial" w:hAnsi="Arial" w:cs="Arial"/>
          <w:color w:val="0B0C0C"/>
          <w:sz w:val="22"/>
          <w:szCs w:val="22"/>
        </w:rPr>
      </w:pPr>
      <w:r w:rsidRPr="00F35C4E">
        <w:rPr>
          <w:rFonts w:ascii="Arial" w:hAnsi="Arial" w:cs="Arial"/>
          <w:color w:val="0B0C0C"/>
          <w:sz w:val="22"/>
          <w:szCs w:val="22"/>
        </w:rPr>
        <w:t>People with learning disabilities or their families and care services often mention issues about capacity and choice around diet and physical activity as being difficult, this can include:</w:t>
      </w:r>
    </w:p>
    <w:p w:rsidR="00F35C4E" w:rsidRPr="009B30F2" w:rsidRDefault="00F35C4E" w:rsidP="009B30F2">
      <w:pPr>
        <w:numPr>
          <w:ilvl w:val="0"/>
          <w:numId w:val="19"/>
        </w:numPr>
        <w:rPr>
          <w:rFonts w:ascii="Arial" w:hAnsi="Arial" w:cs="Arial"/>
        </w:rPr>
      </w:pPr>
      <w:r w:rsidRPr="009B30F2">
        <w:rPr>
          <w:rFonts w:ascii="Arial" w:hAnsi="Arial" w:cs="Arial"/>
        </w:rPr>
        <w:t>supporters such as family or staff struggling to contribute to best interest decisions</w:t>
      </w:r>
    </w:p>
    <w:p w:rsidR="00F35C4E" w:rsidRPr="009B30F2" w:rsidRDefault="00F35C4E" w:rsidP="009B30F2">
      <w:pPr>
        <w:numPr>
          <w:ilvl w:val="0"/>
          <w:numId w:val="19"/>
        </w:numPr>
        <w:rPr>
          <w:rFonts w:ascii="Arial" w:hAnsi="Arial" w:cs="Arial"/>
        </w:rPr>
      </w:pPr>
      <w:r w:rsidRPr="009B30F2">
        <w:rPr>
          <w:rFonts w:ascii="Arial" w:hAnsi="Arial" w:cs="Arial"/>
        </w:rPr>
        <w:t>dilemmas about balancing choice and the duty of care and balancing different risks and benefits</w:t>
      </w:r>
    </w:p>
    <w:p w:rsidR="00F35C4E" w:rsidRPr="009B30F2" w:rsidRDefault="00F35C4E" w:rsidP="009B30F2">
      <w:pPr>
        <w:numPr>
          <w:ilvl w:val="0"/>
          <w:numId w:val="19"/>
        </w:numPr>
        <w:rPr>
          <w:rFonts w:ascii="Arial" w:hAnsi="Arial" w:cs="Arial"/>
        </w:rPr>
      </w:pPr>
      <w:r w:rsidRPr="009B30F2">
        <w:rPr>
          <w:rFonts w:ascii="Arial" w:hAnsi="Arial" w:cs="Arial"/>
        </w:rPr>
        <w:t>paid supporters can feel limited in their capacity to influence food choices</w:t>
      </w:r>
    </w:p>
    <w:p w:rsidR="00F35C4E" w:rsidRPr="009B30F2" w:rsidRDefault="00F35C4E" w:rsidP="009B30F2">
      <w:pPr>
        <w:numPr>
          <w:ilvl w:val="0"/>
          <w:numId w:val="19"/>
        </w:numPr>
        <w:rPr>
          <w:rFonts w:ascii="Arial" w:hAnsi="Arial" w:cs="Arial"/>
        </w:rPr>
      </w:pPr>
      <w:r w:rsidRPr="009B30F2">
        <w:rPr>
          <w:rFonts w:ascii="Arial" w:hAnsi="Arial" w:cs="Arial"/>
        </w:rPr>
        <w:t>supporters misusing the right to make unwise decisions as an excuse for not helping the person to understand risks and options properly</w:t>
      </w:r>
    </w:p>
    <w:p w:rsidR="009B30F2" w:rsidRDefault="009B30F2" w:rsidP="00F35C4E">
      <w:pPr>
        <w:pStyle w:val="NormalWeb"/>
        <w:shd w:val="clear" w:color="auto" w:fill="FFFFFF"/>
        <w:spacing w:before="0" w:beforeAutospacing="0" w:after="0" w:afterAutospacing="0"/>
        <w:rPr>
          <w:rFonts w:ascii="Arial" w:hAnsi="Arial" w:cs="Arial"/>
          <w:color w:val="0B0C0C"/>
          <w:sz w:val="22"/>
          <w:szCs w:val="22"/>
        </w:rPr>
      </w:pPr>
    </w:p>
    <w:p w:rsidR="00F35C4E" w:rsidRPr="00F35C4E" w:rsidRDefault="00F35C4E" w:rsidP="00F35C4E">
      <w:pPr>
        <w:pStyle w:val="NormalWeb"/>
        <w:shd w:val="clear" w:color="auto" w:fill="FFFFFF"/>
        <w:spacing w:before="0" w:beforeAutospacing="0" w:after="0" w:afterAutospacing="0"/>
        <w:rPr>
          <w:rFonts w:ascii="Arial" w:hAnsi="Arial" w:cs="Arial"/>
          <w:color w:val="0B0C0C"/>
          <w:sz w:val="22"/>
          <w:szCs w:val="22"/>
        </w:rPr>
      </w:pPr>
      <w:r w:rsidRPr="00F35C4E">
        <w:rPr>
          <w:rFonts w:ascii="Arial" w:hAnsi="Arial" w:cs="Arial"/>
          <w:color w:val="0B0C0C"/>
          <w:sz w:val="22"/>
          <w:szCs w:val="22"/>
        </w:rPr>
        <w:t xml:space="preserve">Risk assessment issues have been identified as one of the main barriers to physical exercise. </w:t>
      </w:r>
      <w:r w:rsidRPr="009B30F2">
        <w:rPr>
          <w:rFonts w:ascii="Arial" w:hAnsi="Arial" w:cs="Arial"/>
          <w:sz w:val="22"/>
          <w:szCs w:val="22"/>
        </w:rPr>
        <w:t>The </w:t>
      </w:r>
      <w:r w:rsidR="009B30F2">
        <w:rPr>
          <w:rFonts w:ascii="Arial" w:hAnsi="Arial" w:cs="Arial"/>
          <w:sz w:val="22"/>
          <w:szCs w:val="22"/>
        </w:rPr>
        <w:t xml:space="preserve">Health Equalities Framework </w:t>
      </w:r>
      <w:r w:rsidR="009B30F2" w:rsidRPr="00A55F24">
        <w:rPr>
          <w:rFonts w:ascii="Arial" w:hAnsi="Arial" w:cs="Arial"/>
          <w:color w:val="FF0000"/>
          <w:sz w:val="22"/>
          <w:szCs w:val="22"/>
          <w:vertAlign w:val="superscript"/>
        </w:rPr>
        <w:t>4</w:t>
      </w:r>
      <w:r w:rsidRPr="00F35C4E">
        <w:rPr>
          <w:rFonts w:ascii="Arial" w:hAnsi="Arial" w:cs="Arial"/>
          <w:color w:val="0B0C0C"/>
          <w:sz w:val="22"/>
          <w:szCs w:val="22"/>
        </w:rPr>
        <w:t> offers a tool that can be used by support workers and health practitioners, as well as people with learning disabilities and their family carers, to discuss risks to health and wellbeing. It encourages discussion about balancing risks: for example, the risks posed by being overweight alongside the risks of limiting choice.</w:t>
      </w:r>
    </w:p>
    <w:p w:rsidR="007026D2" w:rsidRPr="0094719B" w:rsidRDefault="007026D2" w:rsidP="00DD2083">
      <w:pPr>
        <w:rPr>
          <w:rFonts w:ascii="Arial" w:eastAsia="Times New Roman" w:hAnsi="Arial" w:cs="Arial"/>
          <w:color w:val="333333"/>
          <w:sz w:val="20"/>
          <w:szCs w:val="20"/>
          <w:lang w:eastAsia="en-GB"/>
        </w:rPr>
      </w:pPr>
    </w:p>
    <w:p w:rsidR="00D22F80" w:rsidRPr="004137D7" w:rsidRDefault="00D22F80" w:rsidP="00DD2083">
      <w:pPr>
        <w:rPr>
          <w:rFonts w:ascii="Arial" w:eastAsia="Times New Roman" w:hAnsi="Arial" w:cs="Arial"/>
          <w:b/>
          <w:color w:val="4F81BD"/>
          <w:sz w:val="28"/>
          <w:szCs w:val="28"/>
          <w:lang w:eastAsia="en-GB"/>
        </w:rPr>
      </w:pPr>
    </w:p>
    <w:p w:rsidR="0094719B" w:rsidRPr="004137D7" w:rsidRDefault="0094719B" w:rsidP="00DD2083">
      <w:pPr>
        <w:rPr>
          <w:rFonts w:ascii="Arial" w:eastAsia="Times New Roman" w:hAnsi="Arial" w:cs="Arial"/>
          <w:b/>
          <w:color w:val="4F81BD"/>
          <w:sz w:val="28"/>
          <w:szCs w:val="28"/>
          <w:vertAlign w:val="superscript"/>
          <w:lang w:eastAsia="en-GB"/>
        </w:rPr>
      </w:pPr>
      <w:r w:rsidRPr="004137D7">
        <w:rPr>
          <w:rFonts w:ascii="Arial" w:eastAsia="Times New Roman" w:hAnsi="Arial" w:cs="Arial"/>
          <w:b/>
          <w:color w:val="4F81BD"/>
          <w:sz w:val="28"/>
          <w:szCs w:val="28"/>
          <w:lang w:eastAsia="en-GB"/>
        </w:rPr>
        <w:t>Practical Advice</w:t>
      </w:r>
      <w:r w:rsidR="00A55F24" w:rsidRPr="004137D7">
        <w:rPr>
          <w:rFonts w:ascii="Arial" w:eastAsia="Times New Roman" w:hAnsi="Arial" w:cs="Arial"/>
          <w:b/>
          <w:color w:val="4F81BD"/>
          <w:sz w:val="28"/>
          <w:szCs w:val="28"/>
          <w:lang w:eastAsia="en-GB"/>
        </w:rPr>
        <w:t xml:space="preserve"> from the Caroline Walker Trust</w:t>
      </w:r>
      <w:r w:rsidR="00BD3A47" w:rsidRPr="004137D7">
        <w:rPr>
          <w:rFonts w:ascii="Arial" w:eastAsia="Times New Roman" w:hAnsi="Arial" w:cs="Arial"/>
          <w:b/>
          <w:color w:val="4F81BD"/>
          <w:sz w:val="28"/>
          <w:szCs w:val="28"/>
          <w:vertAlign w:val="superscript"/>
          <w:lang w:eastAsia="en-GB"/>
        </w:rPr>
        <w:t>5</w:t>
      </w:r>
    </w:p>
    <w:p w:rsidR="0094719B" w:rsidRPr="004137D7" w:rsidRDefault="0094719B" w:rsidP="0094719B">
      <w:pPr>
        <w:rPr>
          <w:rFonts w:ascii="Arial" w:hAnsi="Arial" w:cs="Arial"/>
          <w:i/>
          <w:u w:val="single"/>
        </w:rPr>
      </w:pPr>
    </w:p>
    <w:p w:rsidR="0094719B" w:rsidRPr="00A55F24" w:rsidRDefault="00A55F24" w:rsidP="0094719B">
      <w:pPr>
        <w:rPr>
          <w:rFonts w:ascii="Arial" w:hAnsi="Arial" w:cs="Arial"/>
          <w:i/>
        </w:rPr>
      </w:pPr>
      <w:r>
        <w:rPr>
          <w:rFonts w:ascii="Arial" w:hAnsi="Arial" w:cs="Arial"/>
          <w:b/>
        </w:rPr>
        <w:t xml:space="preserve">From:   </w:t>
      </w:r>
      <w:r w:rsidR="0094719B" w:rsidRPr="00E044BA">
        <w:rPr>
          <w:rFonts w:ascii="Arial" w:hAnsi="Arial" w:cs="Arial"/>
          <w:b/>
        </w:rPr>
        <w:t>Eating well: children and adults with learning disabilities Nutritional and practical guidelines</w:t>
      </w:r>
      <w:r w:rsidR="0094719B">
        <w:rPr>
          <w:rFonts w:ascii="Arial" w:hAnsi="Arial" w:cs="Arial"/>
          <w:b/>
        </w:rPr>
        <w:t xml:space="preserve">   </w:t>
      </w:r>
      <w:r w:rsidR="0094719B" w:rsidRPr="00A55F24">
        <w:rPr>
          <w:i/>
        </w:rPr>
        <w:t xml:space="preserve">The Caroline Walker Trust, 2007 ISBN 978-1-89-782023-0    </w:t>
      </w:r>
      <w:proofErr w:type="gramStart"/>
      <w:r w:rsidR="0094719B" w:rsidRPr="00A55F24">
        <w:rPr>
          <w:rFonts w:ascii="Arial" w:hAnsi="Arial" w:cs="Arial"/>
          <w:i/>
        </w:rPr>
        <w:t>Reproduced</w:t>
      </w:r>
      <w:proofErr w:type="gramEnd"/>
      <w:r w:rsidR="0094719B" w:rsidRPr="00A55F24">
        <w:rPr>
          <w:rFonts w:ascii="Arial" w:hAnsi="Arial" w:cs="Arial"/>
          <w:i/>
        </w:rPr>
        <w:t xml:space="preserve"> with permission </w:t>
      </w:r>
    </w:p>
    <w:p w:rsidR="0094719B" w:rsidRPr="00A55F24" w:rsidRDefault="0094719B" w:rsidP="00DD2083">
      <w:pPr>
        <w:rPr>
          <w:rFonts w:ascii="Arial" w:eastAsia="Times New Roman" w:hAnsi="Arial" w:cs="Arial"/>
          <w:i/>
          <w:color w:val="333333"/>
          <w:lang w:eastAsia="en-GB"/>
        </w:rPr>
      </w:pPr>
    </w:p>
    <w:p w:rsidR="0094719B" w:rsidRDefault="0094719B" w:rsidP="0094719B">
      <w:pPr>
        <w:rPr>
          <w:rFonts w:ascii="Arial" w:hAnsi="Arial" w:cs="Arial"/>
          <w:b/>
        </w:rPr>
      </w:pPr>
      <w:r w:rsidRPr="0094719B">
        <w:rPr>
          <w:rFonts w:ascii="Arial" w:hAnsi="Arial" w:cs="Arial"/>
          <w:b/>
        </w:rPr>
        <w:t>Philosophy of care – rights and responsibilities</w:t>
      </w:r>
    </w:p>
    <w:p w:rsidR="00A55F24" w:rsidRPr="0094719B" w:rsidRDefault="00A55F24" w:rsidP="0094719B">
      <w:pPr>
        <w:rPr>
          <w:rFonts w:ascii="Arial" w:hAnsi="Arial" w:cs="Arial"/>
          <w:b/>
        </w:rPr>
      </w:pPr>
    </w:p>
    <w:p w:rsidR="0094719B" w:rsidRPr="0094719B" w:rsidRDefault="0094719B" w:rsidP="00A55F24">
      <w:pPr>
        <w:ind w:left="720"/>
        <w:rPr>
          <w:rFonts w:ascii="Arial" w:hAnsi="Arial" w:cs="Arial"/>
        </w:rPr>
      </w:pPr>
      <w:r w:rsidRPr="0094719B">
        <w:rPr>
          <w:rFonts w:ascii="Arial" w:hAnsi="Arial" w:cs="Arial"/>
        </w:rPr>
        <w:t xml:space="preserve"> ● Managers and support staff should be aware of the code of practice of the Mental Capacity Act 2005 which presumes that anyone over the age of 16 has the right to make his or her own decisions and must be assumed to have the capacity to do so unless proved otherwise, and that people should be supported to make their own decisions and choices. </w:t>
      </w:r>
    </w:p>
    <w:p w:rsidR="002402BB" w:rsidRDefault="002402BB" w:rsidP="0094719B">
      <w:pPr>
        <w:rPr>
          <w:rFonts w:ascii="Arial" w:hAnsi="Arial" w:cs="Arial"/>
          <w:b/>
        </w:rPr>
      </w:pPr>
    </w:p>
    <w:p w:rsidR="0094719B" w:rsidRDefault="0094719B" w:rsidP="0094719B">
      <w:pPr>
        <w:rPr>
          <w:rFonts w:ascii="Arial" w:hAnsi="Arial" w:cs="Arial"/>
          <w:b/>
        </w:rPr>
      </w:pPr>
      <w:r w:rsidRPr="0094719B">
        <w:rPr>
          <w:rFonts w:ascii="Arial" w:hAnsi="Arial" w:cs="Arial"/>
          <w:b/>
        </w:rPr>
        <w:t xml:space="preserve">Helping people make good choices </w:t>
      </w:r>
    </w:p>
    <w:p w:rsidR="00A55F24" w:rsidRPr="0094719B" w:rsidRDefault="00A55F24" w:rsidP="0094719B">
      <w:pPr>
        <w:rPr>
          <w:rFonts w:ascii="Arial" w:hAnsi="Arial" w:cs="Arial"/>
          <w:b/>
        </w:rPr>
      </w:pPr>
    </w:p>
    <w:p w:rsidR="00A55F24" w:rsidRDefault="0094719B" w:rsidP="00A55F24">
      <w:pPr>
        <w:ind w:left="720"/>
        <w:rPr>
          <w:rFonts w:ascii="Arial" w:hAnsi="Arial" w:cs="Arial"/>
        </w:rPr>
      </w:pPr>
      <w:r w:rsidRPr="0094719B">
        <w:rPr>
          <w:rFonts w:ascii="Arial" w:hAnsi="Arial" w:cs="Arial"/>
        </w:rPr>
        <w:t xml:space="preserve">● </w:t>
      </w:r>
      <w:proofErr w:type="gramStart"/>
      <w:r w:rsidRPr="0094719B">
        <w:rPr>
          <w:rFonts w:ascii="Arial" w:hAnsi="Arial" w:cs="Arial"/>
        </w:rPr>
        <w:t>A</w:t>
      </w:r>
      <w:proofErr w:type="gramEnd"/>
      <w:r w:rsidRPr="0094719B">
        <w:rPr>
          <w:rFonts w:ascii="Arial" w:hAnsi="Arial" w:cs="Arial"/>
        </w:rPr>
        <w:t xml:space="preserve"> variety of foods and drinks should be made available to everyone and support staff should be trained and supported to help people with learning disabilities make informed choices. Where there are communication difficulties around food and drink choices and eating, support staff should be encouraged to develop skills in interpreting people’s wishes.</w:t>
      </w:r>
    </w:p>
    <w:p w:rsidR="0094719B" w:rsidRPr="0094719B" w:rsidRDefault="0094719B" w:rsidP="00A55F24">
      <w:pPr>
        <w:ind w:left="720"/>
        <w:rPr>
          <w:rFonts w:ascii="Arial" w:hAnsi="Arial" w:cs="Arial"/>
        </w:rPr>
      </w:pPr>
      <w:r w:rsidRPr="0094719B">
        <w:rPr>
          <w:rFonts w:ascii="Arial" w:hAnsi="Arial" w:cs="Arial"/>
        </w:rPr>
        <w:t xml:space="preserve"> </w:t>
      </w:r>
    </w:p>
    <w:p w:rsidR="0094719B" w:rsidRPr="0094719B" w:rsidRDefault="0094719B" w:rsidP="00A55F24">
      <w:pPr>
        <w:ind w:left="720"/>
        <w:rPr>
          <w:rFonts w:ascii="Arial" w:hAnsi="Arial" w:cs="Arial"/>
        </w:rPr>
      </w:pPr>
      <w:r w:rsidRPr="0094719B">
        <w:rPr>
          <w:rFonts w:ascii="Arial" w:hAnsi="Arial" w:cs="Arial"/>
        </w:rPr>
        <w:t>● Courses on nutrition and health and on basic cookery for people with learning disabilities, and for their friends and family, should be made available. Special courses for those people with learning disabilities who are parents should also be made available.</w:t>
      </w:r>
    </w:p>
    <w:p w:rsidR="002402BB" w:rsidRDefault="0094719B" w:rsidP="00A55F24">
      <w:pPr>
        <w:ind w:left="720"/>
        <w:rPr>
          <w:rFonts w:ascii="Arial" w:hAnsi="Arial" w:cs="Arial"/>
        </w:rPr>
      </w:pPr>
      <w:r w:rsidRPr="0094719B">
        <w:rPr>
          <w:rFonts w:ascii="Arial" w:hAnsi="Arial" w:cs="Arial"/>
        </w:rPr>
        <w:t xml:space="preserve"> </w:t>
      </w:r>
    </w:p>
    <w:p w:rsidR="0094719B" w:rsidRDefault="0094719B" w:rsidP="0094719B">
      <w:pPr>
        <w:rPr>
          <w:rFonts w:ascii="Arial" w:hAnsi="Arial" w:cs="Arial"/>
          <w:b/>
        </w:rPr>
      </w:pPr>
      <w:r w:rsidRPr="0094719B">
        <w:rPr>
          <w:rFonts w:ascii="Arial" w:hAnsi="Arial" w:cs="Arial"/>
          <w:b/>
        </w:rPr>
        <w:t xml:space="preserve">Organisational culture </w:t>
      </w:r>
    </w:p>
    <w:p w:rsidR="00A55F24" w:rsidRPr="0094719B" w:rsidRDefault="00A55F24" w:rsidP="0094719B">
      <w:pPr>
        <w:rPr>
          <w:rFonts w:ascii="Arial" w:hAnsi="Arial" w:cs="Arial"/>
          <w:b/>
        </w:rPr>
      </w:pPr>
    </w:p>
    <w:p w:rsidR="0094719B" w:rsidRDefault="0094719B" w:rsidP="00A55F24">
      <w:pPr>
        <w:ind w:left="720"/>
        <w:rPr>
          <w:rFonts w:ascii="Arial" w:hAnsi="Arial" w:cs="Arial"/>
        </w:rPr>
      </w:pPr>
      <w:r w:rsidRPr="0094719B">
        <w:rPr>
          <w:rFonts w:ascii="Arial" w:hAnsi="Arial" w:cs="Arial"/>
        </w:rPr>
        <w:t xml:space="preserve">● </w:t>
      </w:r>
      <w:proofErr w:type="gramStart"/>
      <w:r w:rsidRPr="0094719B">
        <w:rPr>
          <w:rFonts w:ascii="Arial" w:hAnsi="Arial" w:cs="Arial"/>
        </w:rPr>
        <w:t>In</w:t>
      </w:r>
      <w:proofErr w:type="gramEnd"/>
      <w:r w:rsidRPr="0094719B">
        <w:rPr>
          <w:rFonts w:ascii="Arial" w:hAnsi="Arial" w:cs="Arial"/>
        </w:rPr>
        <w:t xml:space="preserve"> all settings it is essential that there is a commitment to good nutrition and an awareness of the wider role of food and drink in contributing to wellbeing and quality of life. Managers </w:t>
      </w:r>
      <w:r w:rsidRPr="0094719B">
        <w:rPr>
          <w:rFonts w:ascii="Arial" w:hAnsi="Arial" w:cs="Arial"/>
        </w:rPr>
        <w:lastRenderedPageBreak/>
        <w:t xml:space="preserve">and staff at all levels need to demonstrate their commitment to good nutrition by ensuring everyone receives adequate training and support. </w:t>
      </w:r>
    </w:p>
    <w:p w:rsidR="00A55F24" w:rsidRPr="0094719B" w:rsidRDefault="00A55F24" w:rsidP="00A55F24">
      <w:pPr>
        <w:ind w:left="720"/>
        <w:rPr>
          <w:rFonts w:ascii="Arial" w:hAnsi="Arial" w:cs="Arial"/>
        </w:rPr>
      </w:pPr>
    </w:p>
    <w:p w:rsidR="0094719B" w:rsidRDefault="0094719B" w:rsidP="00A55F24">
      <w:pPr>
        <w:ind w:left="720"/>
        <w:rPr>
          <w:rFonts w:ascii="Arial" w:hAnsi="Arial" w:cs="Arial"/>
        </w:rPr>
      </w:pPr>
      <w:r w:rsidRPr="0094719B">
        <w:rPr>
          <w:rFonts w:ascii="Arial" w:hAnsi="Arial" w:cs="Arial"/>
        </w:rPr>
        <w:t xml:space="preserve">● Efforts should be made to find out about the food preferences and eating patterns of people with learning disabilities – including those who move into new or residential settings, regardless of how long they will stay there. This information should be recorded, shared with all support staff, and regularly updated. </w:t>
      </w:r>
    </w:p>
    <w:p w:rsidR="00A55F24" w:rsidRPr="0094719B" w:rsidRDefault="00A55F24" w:rsidP="00A55F24">
      <w:pPr>
        <w:ind w:left="720"/>
        <w:rPr>
          <w:rFonts w:ascii="Arial" w:hAnsi="Arial" w:cs="Arial"/>
        </w:rPr>
      </w:pPr>
    </w:p>
    <w:p w:rsidR="0094719B" w:rsidRPr="0094719B" w:rsidRDefault="0094719B" w:rsidP="00A55F24">
      <w:pPr>
        <w:ind w:left="720"/>
        <w:rPr>
          <w:rFonts w:ascii="Arial" w:hAnsi="Arial" w:cs="Arial"/>
        </w:rPr>
      </w:pPr>
      <w:r w:rsidRPr="0094719B">
        <w:rPr>
          <w:rFonts w:ascii="Arial" w:hAnsi="Arial" w:cs="Arial"/>
        </w:rPr>
        <w:t xml:space="preserve">● People with learning disabilities should be encouraged to include information about food and nutritional health in their health action plan which is compiled to explain their health needs, and in all care plans. </w:t>
      </w:r>
    </w:p>
    <w:p w:rsidR="002402BB" w:rsidRDefault="002402BB" w:rsidP="0094719B">
      <w:pPr>
        <w:rPr>
          <w:rFonts w:ascii="Arial" w:hAnsi="Arial" w:cs="Arial"/>
          <w:b/>
        </w:rPr>
      </w:pPr>
    </w:p>
    <w:p w:rsidR="0094719B" w:rsidRDefault="0094719B" w:rsidP="0094719B">
      <w:pPr>
        <w:rPr>
          <w:rFonts w:ascii="Arial" w:hAnsi="Arial" w:cs="Arial"/>
          <w:b/>
        </w:rPr>
      </w:pPr>
      <w:r w:rsidRPr="0094719B">
        <w:rPr>
          <w:rFonts w:ascii="Arial" w:hAnsi="Arial" w:cs="Arial"/>
          <w:b/>
        </w:rPr>
        <w:t xml:space="preserve">Staff training and support </w:t>
      </w:r>
    </w:p>
    <w:p w:rsidR="00A55F24" w:rsidRPr="0094719B" w:rsidRDefault="00A55F24" w:rsidP="0094719B">
      <w:pPr>
        <w:rPr>
          <w:rFonts w:ascii="Arial" w:hAnsi="Arial" w:cs="Arial"/>
          <w:b/>
        </w:rPr>
      </w:pPr>
    </w:p>
    <w:p w:rsidR="00A55F24" w:rsidRDefault="0094719B" w:rsidP="00A55F24">
      <w:pPr>
        <w:ind w:left="720"/>
        <w:rPr>
          <w:rFonts w:ascii="Arial" w:hAnsi="Arial" w:cs="Arial"/>
        </w:rPr>
      </w:pPr>
      <w:r w:rsidRPr="0094719B">
        <w:rPr>
          <w:rFonts w:ascii="Arial" w:hAnsi="Arial" w:cs="Arial"/>
        </w:rPr>
        <w:t xml:space="preserve">● </w:t>
      </w:r>
      <w:proofErr w:type="gramStart"/>
      <w:r w:rsidRPr="0094719B">
        <w:rPr>
          <w:rFonts w:ascii="Arial" w:hAnsi="Arial" w:cs="Arial"/>
        </w:rPr>
        <w:t>The</w:t>
      </w:r>
      <w:proofErr w:type="gramEnd"/>
      <w:r w:rsidRPr="0094719B">
        <w:rPr>
          <w:rFonts w:ascii="Arial" w:hAnsi="Arial" w:cs="Arial"/>
        </w:rPr>
        <w:t xml:space="preserve"> importance of staff training cannot be over-emphasised. In order that children, young people and adults with learning disabilities are supported to eat and drink well, it is essential that everyone involved in supporting them has a clear idea about what eating well means in practice and that appropriate training is on-going for all staff, regardless of whether they are permanent, temporary, employed through an agency or involved in a voluntary capacity</w:t>
      </w:r>
    </w:p>
    <w:p w:rsidR="0094719B" w:rsidRPr="0094719B" w:rsidRDefault="0094719B" w:rsidP="00A55F24">
      <w:pPr>
        <w:ind w:left="720"/>
        <w:rPr>
          <w:rFonts w:ascii="Arial" w:hAnsi="Arial" w:cs="Arial"/>
        </w:rPr>
      </w:pPr>
      <w:r w:rsidRPr="0094719B">
        <w:rPr>
          <w:rFonts w:ascii="Arial" w:hAnsi="Arial" w:cs="Arial"/>
        </w:rPr>
        <w:t xml:space="preserve">. </w:t>
      </w:r>
    </w:p>
    <w:p w:rsidR="0094719B" w:rsidRPr="0094719B" w:rsidRDefault="0094719B" w:rsidP="00A55F24">
      <w:pPr>
        <w:ind w:left="720"/>
        <w:rPr>
          <w:rFonts w:ascii="Arial" w:hAnsi="Arial" w:cs="Arial"/>
        </w:rPr>
      </w:pPr>
      <w:r w:rsidRPr="0094719B">
        <w:rPr>
          <w:rFonts w:ascii="Arial" w:hAnsi="Arial" w:cs="Arial"/>
        </w:rPr>
        <w:t xml:space="preserve">● </w:t>
      </w:r>
      <w:proofErr w:type="gramStart"/>
      <w:r w:rsidRPr="0094719B">
        <w:rPr>
          <w:rFonts w:ascii="Arial" w:hAnsi="Arial" w:cs="Arial"/>
        </w:rPr>
        <w:t>It</w:t>
      </w:r>
      <w:proofErr w:type="gramEnd"/>
      <w:r w:rsidRPr="0094719B">
        <w:rPr>
          <w:rFonts w:ascii="Arial" w:hAnsi="Arial" w:cs="Arial"/>
        </w:rPr>
        <w:t xml:space="preserve"> is important that anyone who supports those who need assistance with eating is trained to help in a sensitive and efficient way. Helping someone with eating difficulties to eat can be complex and stressful and it is essential that staff are given sufficient support from colleagues when this is challenging.</w:t>
      </w:r>
    </w:p>
    <w:p w:rsidR="002402BB" w:rsidRDefault="002402BB" w:rsidP="0094719B">
      <w:pPr>
        <w:rPr>
          <w:rFonts w:ascii="Arial" w:hAnsi="Arial" w:cs="Arial"/>
        </w:rPr>
      </w:pPr>
    </w:p>
    <w:p w:rsidR="0094719B" w:rsidRDefault="0094719B" w:rsidP="0094719B">
      <w:pPr>
        <w:rPr>
          <w:rFonts w:ascii="Arial" w:hAnsi="Arial" w:cs="Arial"/>
          <w:b/>
        </w:rPr>
      </w:pPr>
      <w:r w:rsidRPr="0094719B">
        <w:rPr>
          <w:rFonts w:ascii="Arial" w:hAnsi="Arial" w:cs="Arial"/>
        </w:rPr>
        <w:t xml:space="preserve"> </w:t>
      </w:r>
      <w:r w:rsidRPr="0094719B">
        <w:rPr>
          <w:rFonts w:ascii="Arial" w:hAnsi="Arial" w:cs="Arial"/>
          <w:b/>
        </w:rPr>
        <w:t>Involving and listening to family and friends</w:t>
      </w:r>
    </w:p>
    <w:p w:rsidR="00A55F24" w:rsidRPr="0094719B" w:rsidRDefault="00A55F24" w:rsidP="0094719B">
      <w:pPr>
        <w:rPr>
          <w:rFonts w:ascii="Arial" w:hAnsi="Arial" w:cs="Arial"/>
          <w:b/>
        </w:rPr>
      </w:pPr>
    </w:p>
    <w:p w:rsidR="0094719B" w:rsidRDefault="0094719B" w:rsidP="00A55F24">
      <w:pPr>
        <w:ind w:left="720"/>
        <w:rPr>
          <w:rFonts w:ascii="Arial" w:hAnsi="Arial" w:cs="Arial"/>
        </w:rPr>
      </w:pPr>
      <w:r w:rsidRPr="0094719B">
        <w:rPr>
          <w:rFonts w:ascii="Arial" w:hAnsi="Arial" w:cs="Arial"/>
        </w:rPr>
        <w:t xml:space="preserve"> ● </w:t>
      </w:r>
      <w:proofErr w:type="gramStart"/>
      <w:r w:rsidRPr="0094719B">
        <w:rPr>
          <w:rFonts w:ascii="Arial" w:hAnsi="Arial" w:cs="Arial"/>
        </w:rPr>
        <w:t>A</w:t>
      </w:r>
      <w:proofErr w:type="gramEnd"/>
      <w:r w:rsidRPr="0094719B">
        <w:rPr>
          <w:rFonts w:ascii="Arial" w:hAnsi="Arial" w:cs="Arial"/>
        </w:rPr>
        <w:t xml:space="preserve"> real partnership between families, friends and support staff is essential so that everyone works together to ensure that each individual eats and drinks in a way that they prefer and which is appropriate, safe and health-promoting. In residential and day care settings it is important that adequate notice of, and the reasons for, changes to meals and snacks are given to everyone so that people can comment on and discuss the changes before they are introduced.</w:t>
      </w:r>
      <w:r w:rsidRPr="0094719B">
        <w:rPr>
          <w:rFonts w:ascii="Arial" w:hAnsi="Arial" w:cs="Arial"/>
          <w:b/>
          <w:vertAlign w:val="superscript"/>
        </w:rPr>
        <w:t xml:space="preserve"> </w:t>
      </w:r>
      <w:r w:rsidR="009B30F2">
        <w:rPr>
          <w:rFonts w:ascii="Arial" w:hAnsi="Arial" w:cs="Arial"/>
          <w:b/>
          <w:vertAlign w:val="superscript"/>
        </w:rPr>
        <w:t>5</w:t>
      </w:r>
    </w:p>
    <w:p w:rsidR="00A55F24" w:rsidRDefault="00A55F24" w:rsidP="00A55F24">
      <w:pPr>
        <w:rPr>
          <w:rFonts w:ascii="Arial" w:hAnsi="Arial" w:cs="Arial"/>
          <w:sz w:val="18"/>
          <w:szCs w:val="18"/>
        </w:rPr>
      </w:pPr>
    </w:p>
    <w:p w:rsidR="0094719B" w:rsidRDefault="0081766F" w:rsidP="00A55F24">
      <w:hyperlink r:id="rId8" w:history="1">
        <w:r w:rsidR="00A55F24" w:rsidRPr="000837C1">
          <w:rPr>
            <w:rStyle w:val="Hyperlink"/>
            <w:rFonts w:ascii="Arial" w:hAnsi="Arial" w:cs="Arial"/>
            <w:sz w:val="18"/>
            <w:szCs w:val="18"/>
          </w:rPr>
          <w:t>https://www.cwt.org.uk/wp-content/uploads/2015/02/EWLDGuidelines.pdf</w:t>
        </w:r>
      </w:hyperlink>
      <w:r w:rsidR="00A55F24" w:rsidRPr="000837C1">
        <w:rPr>
          <w:rFonts w:ascii="Arial" w:hAnsi="Arial" w:cs="Arial"/>
          <w:sz w:val="18"/>
          <w:szCs w:val="18"/>
        </w:rPr>
        <w:t xml:space="preserve"> </w:t>
      </w:r>
      <w:r w:rsidR="00A55F24">
        <w:rPr>
          <w:rFonts w:ascii="Arial" w:hAnsi="Arial" w:cs="Arial"/>
          <w:sz w:val="18"/>
          <w:szCs w:val="18"/>
        </w:rPr>
        <w:t xml:space="preserve"> for full text </w:t>
      </w:r>
      <w:r w:rsidR="00A55F24" w:rsidRPr="000837C1">
        <w:rPr>
          <w:rFonts w:ascii="Arial" w:hAnsi="Arial" w:cs="Arial"/>
          <w:sz w:val="18"/>
          <w:szCs w:val="18"/>
        </w:rPr>
        <w:t xml:space="preserve"> </w:t>
      </w:r>
    </w:p>
    <w:p w:rsidR="000014FE" w:rsidRPr="004137D7" w:rsidRDefault="000014FE" w:rsidP="0094719B">
      <w:pPr>
        <w:rPr>
          <w:color w:val="4F81BD"/>
        </w:rPr>
      </w:pPr>
    </w:p>
    <w:p w:rsidR="000A2205" w:rsidRPr="004137D7" w:rsidRDefault="000A2205" w:rsidP="000A2205">
      <w:pPr>
        <w:shd w:val="clear" w:color="auto" w:fill="FFFFFF"/>
        <w:spacing w:after="150"/>
        <w:rPr>
          <w:rFonts w:ascii="Arial" w:eastAsia="Times New Roman" w:hAnsi="Arial" w:cs="Arial"/>
          <w:b/>
          <w:bCs/>
          <w:color w:val="4F81BD"/>
          <w:sz w:val="24"/>
          <w:szCs w:val="24"/>
          <w:lang w:eastAsia="en-GB"/>
        </w:rPr>
      </w:pPr>
      <w:r w:rsidRPr="004137D7">
        <w:rPr>
          <w:rFonts w:ascii="Arial" w:eastAsia="Times New Roman" w:hAnsi="Arial" w:cs="Arial"/>
          <w:b/>
          <w:bCs/>
          <w:color w:val="4F81BD"/>
          <w:sz w:val="24"/>
          <w:szCs w:val="24"/>
          <w:lang w:eastAsia="en-GB"/>
        </w:rPr>
        <w:t>Rescare’s advice to people with learning disabilities and/or their carers:</w:t>
      </w:r>
    </w:p>
    <w:p w:rsidR="000A2205" w:rsidRDefault="000A2205" w:rsidP="000A2205">
      <w:pPr>
        <w:shd w:val="clear" w:color="auto" w:fill="FFFFFF"/>
        <w:spacing w:after="150"/>
        <w:ind w:left="72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xml:space="preserve">● </w:t>
      </w:r>
      <w:r w:rsidR="00172E7E">
        <w:rPr>
          <w:rFonts w:ascii="Arial" w:eastAsia="Times New Roman" w:hAnsi="Arial" w:cs="Arial"/>
          <w:color w:val="333333"/>
          <w:sz w:val="24"/>
          <w:szCs w:val="24"/>
          <w:lang w:eastAsia="en-GB"/>
        </w:rPr>
        <w:t xml:space="preserve">Ensure you are on the GP register of </w:t>
      </w:r>
      <w:r w:rsidR="000925A5">
        <w:rPr>
          <w:rFonts w:ascii="Arial" w:eastAsia="Times New Roman" w:hAnsi="Arial" w:cs="Arial"/>
          <w:color w:val="333333"/>
          <w:sz w:val="24"/>
          <w:szCs w:val="24"/>
          <w:lang w:eastAsia="en-GB"/>
        </w:rPr>
        <w:t xml:space="preserve">people with </w:t>
      </w:r>
      <w:r w:rsidR="00172E7E">
        <w:rPr>
          <w:rFonts w:ascii="Arial" w:eastAsia="Times New Roman" w:hAnsi="Arial" w:cs="Arial"/>
          <w:color w:val="333333"/>
          <w:sz w:val="24"/>
          <w:szCs w:val="24"/>
          <w:lang w:eastAsia="en-GB"/>
        </w:rPr>
        <w:t xml:space="preserve">Learning Disability. </w:t>
      </w:r>
      <w:r w:rsidRPr="000A23A5">
        <w:rPr>
          <w:rFonts w:ascii="Arial" w:eastAsia="Times New Roman" w:hAnsi="Arial" w:cs="Arial"/>
          <w:color w:val="333333"/>
          <w:sz w:val="24"/>
          <w:szCs w:val="24"/>
          <w:lang w:eastAsia="en-GB"/>
        </w:rPr>
        <w:t>Ask for y</w:t>
      </w:r>
      <w:r w:rsidR="00172E7E">
        <w:rPr>
          <w:rFonts w:ascii="Arial" w:eastAsia="Times New Roman" w:hAnsi="Arial" w:cs="Arial"/>
          <w:color w:val="333333"/>
          <w:sz w:val="24"/>
          <w:szCs w:val="24"/>
          <w:lang w:eastAsia="en-GB"/>
        </w:rPr>
        <w:t>our annual health check with the</w:t>
      </w:r>
      <w:r w:rsidRPr="000A23A5">
        <w:rPr>
          <w:rFonts w:ascii="Arial" w:eastAsia="Times New Roman" w:hAnsi="Arial" w:cs="Arial"/>
          <w:color w:val="333333"/>
          <w:sz w:val="24"/>
          <w:szCs w:val="24"/>
          <w:lang w:eastAsia="en-GB"/>
        </w:rPr>
        <w:t xml:space="preserve"> GP – you are entitled to it, and you will incidentally contribute to an improved accuracy of the statistics used by the NHS and others.</w:t>
      </w:r>
    </w:p>
    <w:p w:rsidR="000A2205" w:rsidRDefault="000A2205" w:rsidP="000A2205">
      <w:pPr>
        <w:shd w:val="clear" w:color="auto" w:fill="FFFFFF"/>
        <w:spacing w:after="150"/>
        <w:ind w:left="72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br/>
        <w:t>● Ask your GP or psychiatrist for regular reviews of your medication. It’s your right, and it’s the recommendation of STOMP (</w:t>
      </w:r>
      <w:proofErr w:type="gramStart"/>
      <w:r w:rsidRPr="000A23A5">
        <w:rPr>
          <w:rFonts w:ascii="Arial" w:eastAsia="Times New Roman" w:hAnsi="Arial" w:cs="Arial"/>
          <w:color w:val="333333"/>
          <w:sz w:val="24"/>
          <w:szCs w:val="24"/>
          <w:lang w:eastAsia="en-GB"/>
        </w:rPr>
        <w:t>‘Stopping</w:t>
      </w:r>
      <w:proofErr w:type="gramEnd"/>
      <w:r w:rsidRPr="000A23A5">
        <w:rPr>
          <w:rFonts w:ascii="Arial" w:eastAsia="Times New Roman" w:hAnsi="Arial" w:cs="Arial"/>
          <w:color w:val="333333"/>
          <w:sz w:val="24"/>
          <w:szCs w:val="24"/>
          <w:lang w:eastAsia="en-GB"/>
        </w:rPr>
        <w:t xml:space="preserve"> over medication of people with a learning </w:t>
      </w:r>
      <w:r w:rsidR="004137D7" w:rsidRPr="000A23A5">
        <w:rPr>
          <w:rFonts w:ascii="Arial" w:eastAsia="Times New Roman" w:hAnsi="Arial" w:cs="Arial"/>
          <w:color w:val="333333"/>
          <w:sz w:val="24"/>
          <w:szCs w:val="24"/>
          <w:lang w:eastAsia="en-GB"/>
        </w:rPr>
        <w:t>disabi</w:t>
      </w:r>
      <w:r w:rsidR="004137D7">
        <w:rPr>
          <w:rFonts w:ascii="Arial" w:eastAsia="Times New Roman" w:hAnsi="Arial" w:cs="Arial"/>
          <w:color w:val="333333"/>
          <w:sz w:val="24"/>
          <w:szCs w:val="24"/>
          <w:lang w:eastAsia="en-GB"/>
        </w:rPr>
        <w:t>lity,</w:t>
      </w:r>
      <w:r>
        <w:rPr>
          <w:rFonts w:ascii="Arial" w:eastAsia="Times New Roman" w:hAnsi="Arial" w:cs="Arial"/>
          <w:color w:val="333333"/>
          <w:sz w:val="24"/>
          <w:szCs w:val="24"/>
          <w:lang w:eastAsia="en-GB"/>
        </w:rPr>
        <w:t xml:space="preserve"> autism or both’) </w:t>
      </w:r>
    </w:p>
    <w:p w:rsidR="000A2205" w:rsidRDefault="000A2205" w:rsidP="000A2205">
      <w:pPr>
        <w:shd w:val="clear" w:color="auto" w:fill="FFFFFF"/>
        <w:spacing w:after="150"/>
        <w:ind w:left="72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br/>
        <w:t xml:space="preserve">● </w:t>
      </w:r>
      <w:r>
        <w:rPr>
          <w:rFonts w:ascii="Arial" w:eastAsia="Times New Roman" w:hAnsi="Arial" w:cs="Arial"/>
          <w:color w:val="333333"/>
          <w:sz w:val="24"/>
          <w:szCs w:val="24"/>
          <w:lang w:eastAsia="en-GB"/>
        </w:rPr>
        <w:t>Enquire about vaccinations for Covid and ‘flu – you are entitled to them</w:t>
      </w:r>
      <w:r w:rsidRPr="000A23A5">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t>
      </w:r>
    </w:p>
    <w:p w:rsidR="000A2205" w:rsidRDefault="000A2205" w:rsidP="000A2205">
      <w:pPr>
        <w:shd w:val="clear" w:color="auto" w:fill="FFFFFF"/>
        <w:spacing w:after="150"/>
        <w:ind w:left="72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br/>
        <w:t>● Arrange an eye-test every two-years (If you receive benefits, you will probably be entitled to this free of charge)</w:t>
      </w:r>
    </w:p>
    <w:p w:rsidR="000A2205" w:rsidRDefault="000A2205" w:rsidP="000A2205">
      <w:pPr>
        <w:shd w:val="clear" w:color="auto" w:fill="FFFFFF"/>
        <w:spacing w:after="150"/>
        <w:ind w:left="720"/>
        <w:rPr>
          <w:rFonts w:ascii="Arial" w:eastAsia="Times New Roman" w:hAnsi="Arial" w:cs="Arial"/>
          <w:color w:val="333333"/>
          <w:sz w:val="24"/>
          <w:szCs w:val="24"/>
          <w:vertAlign w:val="superscript"/>
          <w:lang w:eastAsia="en-GB"/>
        </w:rPr>
      </w:pPr>
      <w:r w:rsidRPr="000A23A5">
        <w:rPr>
          <w:rFonts w:ascii="Arial" w:eastAsia="Times New Roman" w:hAnsi="Arial" w:cs="Arial"/>
          <w:color w:val="333333"/>
          <w:sz w:val="24"/>
          <w:szCs w:val="24"/>
          <w:lang w:eastAsia="en-GB"/>
        </w:rPr>
        <w:br/>
        <w:t xml:space="preserve">● Insist that health staff make reasonable adjustments to enable what may be </w:t>
      </w:r>
      <w:r w:rsidRPr="000A23A5">
        <w:rPr>
          <w:rFonts w:ascii="Arial" w:eastAsia="Times New Roman" w:hAnsi="Arial" w:cs="Arial"/>
          <w:color w:val="333333"/>
          <w:sz w:val="24"/>
          <w:szCs w:val="24"/>
          <w:lang w:eastAsia="en-GB"/>
        </w:rPr>
        <w:lastRenderedPageBreak/>
        <w:t>stressful, confusing or intrusive procedures (injections, blood tests, eye tests etc.) to take place.</w:t>
      </w:r>
      <w:r w:rsidR="00BD3A47">
        <w:rPr>
          <w:rFonts w:ascii="Arial" w:eastAsia="Times New Roman" w:hAnsi="Arial" w:cs="Arial"/>
          <w:color w:val="333333"/>
          <w:sz w:val="24"/>
          <w:szCs w:val="24"/>
          <w:vertAlign w:val="superscript"/>
          <w:lang w:eastAsia="en-GB"/>
        </w:rPr>
        <w:t>6</w:t>
      </w:r>
    </w:p>
    <w:p w:rsidR="00BD3A47" w:rsidRPr="004137D7" w:rsidRDefault="00BD3A47" w:rsidP="000A2205">
      <w:pPr>
        <w:shd w:val="clear" w:color="auto" w:fill="FFFFFF"/>
        <w:spacing w:after="150"/>
        <w:ind w:left="720"/>
        <w:rPr>
          <w:rFonts w:ascii="Arial" w:eastAsia="Times New Roman" w:hAnsi="Arial" w:cs="Arial"/>
          <w:color w:val="365F91"/>
          <w:sz w:val="28"/>
          <w:szCs w:val="28"/>
          <w:vertAlign w:val="superscript"/>
          <w:lang w:eastAsia="en-GB"/>
        </w:rPr>
      </w:pPr>
    </w:p>
    <w:p w:rsidR="00BD3A47" w:rsidRPr="004137D7" w:rsidRDefault="00BD3A47" w:rsidP="00BD3A47">
      <w:pPr>
        <w:shd w:val="clear" w:color="auto" w:fill="FFFFFF"/>
        <w:spacing w:after="150"/>
        <w:jc w:val="both"/>
        <w:rPr>
          <w:rFonts w:ascii="Arial" w:eastAsia="Times New Roman" w:hAnsi="Arial" w:cs="Arial"/>
          <w:b/>
          <w:color w:val="4F81BD"/>
          <w:sz w:val="28"/>
          <w:szCs w:val="28"/>
          <w:lang w:eastAsia="en-GB"/>
        </w:rPr>
      </w:pPr>
      <w:r w:rsidRPr="004137D7">
        <w:rPr>
          <w:rFonts w:ascii="Arial" w:eastAsia="Times New Roman" w:hAnsi="Arial" w:cs="Arial"/>
          <w:b/>
          <w:color w:val="4F81BD"/>
          <w:sz w:val="28"/>
          <w:szCs w:val="28"/>
          <w:lang w:eastAsia="en-GB"/>
        </w:rPr>
        <w:t xml:space="preserve">Finally we </w:t>
      </w:r>
      <w:r w:rsidR="00872147">
        <w:rPr>
          <w:rFonts w:ascii="Arial" w:eastAsia="Times New Roman" w:hAnsi="Arial" w:cs="Arial"/>
          <w:b/>
          <w:color w:val="4F81BD"/>
          <w:sz w:val="28"/>
          <w:szCs w:val="28"/>
          <w:lang w:eastAsia="en-GB"/>
        </w:rPr>
        <w:t xml:space="preserve">refer you to </w:t>
      </w:r>
      <w:bookmarkStart w:id="0" w:name="_GoBack"/>
      <w:bookmarkEnd w:id="0"/>
      <w:r w:rsidR="004137D7" w:rsidRPr="004137D7">
        <w:rPr>
          <w:rFonts w:ascii="Arial" w:eastAsia="Times New Roman" w:hAnsi="Arial" w:cs="Arial"/>
          <w:b/>
          <w:color w:val="4F81BD"/>
          <w:sz w:val="28"/>
          <w:szCs w:val="28"/>
          <w:lang w:eastAsia="en-GB"/>
        </w:rPr>
        <w:t>two appendic</w:t>
      </w:r>
      <w:r w:rsidRPr="004137D7">
        <w:rPr>
          <w:rFonts w:ascii="Arial" w:eastAsia="Times New Roman" w:hAnsi="Arial" w:cs="Arial"/>
          <w:b/>
          <w:color w:val="4F81BD"/>
          <w:sz w:val="28"/>
          <w:szCs w:val="28"/>
          <w:lang w:eastAsia="en-GB"/>
        </w:rPr>
        <w:t>es</w:t>
      </w:r>
      <w:r w:rsidR="004137D7" w:rsidRPr="004137D7">
        <w:rPr>
          <w:rFonts w:ascii="Arial" w:eastAsia="Times New Roman" w:hAnsi="Arial" w:cs="Arial"/>
          <w:b/>
          <w:color w:val="4F81BD"/>
          <w:sz w:val="28"/>
          <w:szCs w:val="28"/>
          <w:lang w:eastAsia="en-GB"/>
        </w:rPr>
        <w:t>:</w:t>
      </w:r>
      <w:r w:rsidRPr="004137D7">
        <w:rPr>
          <w:rFonts w:ascii="Arial" w:eastAsia="Times New Roman" w:hAnsi="Arial" w:cs="Arial"/>
          <w:b/>
          <w:color w:val="4F81BD"/>
          <w:sz w:val="28"/>
          <w:szCs w:val="28"/>
          <w:lang w:eastAsia="en-GB"/>
        </w:rPr>
        <w:t xml:space="preserve"> </w:t>
      </w:r>
    </w:p>
    <w:p w:rsidR="000A2205" w:rsidRDefault="000A2205" w:rsidP="000A2205">
      <w:pPr>
        <w:rPr>
          <w:rFonts w:ascii="Arial" w:hAnsi="Arial" w:cs="Arial"/>
          <w:b/>
          <w:color w:val="365F91"/>
          <w:sz w:val="24"/>
          <w:szCs w:val="24"/>
        </w:rPr>
      </w:pPr>
    </w:p>
    <w:p w:rsidR="000A2205" w:rsidRDefault="000A2205" w:rsidP="000A2205">
      <w:pPr>
        <w:rPr>
          <w:rFonts w:ascii="Arial" w:hAnsi="Arial" w:cs="Arial"/>
          <w:b/>
          <w:sz w:val="24"/>
          <w:szCs w:val="24"/>
        </w:rPr>
      </w:pPr>
      <w:r w:rsidRPr="004137D7">
        <w:rPr>
          <w:rFonts w:ascii="Arial" w:hAnsi="Arial" w:cs="Arial"/>
          <w:b/>
          <w:sz w:val="24"/>
          <w:szCs w:val="24"/>
        </w:rPr>
        <w:t>Appendix I for other useful information previously prepared by Rescare</w:t>
      </w:r>
    </w:p>
    <w:p w:rsidR="00872147" w:rsidRDefault="00872147" w:rsidP="000A2205">
      <w:pPr>
        <w:rPr>
          <w:rFonts w:ascii="Arial" w:hAnsi="Arial" w:cs="Arial"/>
          <w:b/>
          <w:sz w:val="24"/>
          <w:szCs w:val="24"/>
        </w:rPr>
      </w:pPr>
    </w:p>
    <w:p w:rsidR="00872147" w:rsidRPr="00872147" w:rsidRDefault="00872147" w:rsidP="000A2205">
      <w:pPr>
        <w:rPr>
          <w:rFonts w:ascii="Arial" w:hAnsi="Arial" w:cs="Arial"/>
          <w:b/>
          <w:sz w:val="24"/>
          <w:szCs w:val="24"/>
        </w:rPr>
      </w:pPr>
      <w:r w:rsidRPr="00872147">
        <w:rPr>
          <w:rFonts w:ascii="Arial" w:hAnsi="Arial" w:cs="Arial"/>
          <w:b/>
          <w:sz w:val="24"/>
          <w:szCs w:val="24"/>
        </w:rPr>
        <w:t>(</w:t>
      </w:r>
      <w:r w:rsidRPr="00872147">
        <w:rPr>
          <w:rFonts w:ascii="Arial" w:hAnsi="Arial" w:cs="Arial"/>
          <w:sz w:val="24"/>
          <w:szCs w:val="24"/>
        </w:rPr>
        <w:t>Available at</w:t>
      </w:r>
      <w:r>
        <w:rPr>
          <w:rFonts w:ascii="Arial" w:hAnsi="Arial" w:cs="Arial"/>
          <w:b/>
          <w:sz w:val="24"/>
          <w:szCs w:val="24"/>
        </w:rPr>
        <w:t xml:space="preserve">… </w:t>
      </w:r>
      <w:hyperlink r:id="rId9" w:history="1">
        <w:r w:rsidRPr="00872147">
          <w:rPr>
            <w:rStyle w:val="Hyperlink"/>
            <w:rFonts w:ascii="Arial" w:hAnsi="Arial" w:cs="Arial"/>
            <w:sz w:val="24"/>
            <w:szCs w:val="24"/>
          </w:rPr>
          <w:t>https://www.rescare.org.uk/wp-content/uploads/2021/03/Obesity-and-Choice-Forum-appendix-I.docx</w:t>
        </w:r>
      </w:hyperlink>
      <w:r w:rsidRPr="00872147">
        <w:rPr>
          <w:rFonts w:ascii="Arial" w:hAnsi="Arial" w:cs="Arial"/>
          <w:sz w:val="24"/>
          <w:szCs w:val="24"/>
        </w:rPr>
        <w:t xml:space="preserve"> )</w:t>
      </w:r>
    </w:p>
    <w:p w:rsidR="00BD3A47" w:rsidRPr="004137D7" w:rsidRDefault="00BD3A47" w:rsidP="000A2205">
      <w:pPr>
        <w:rPr>
          <w:rFonts w:ascii="Arial" w:hAnsi="Arial" w:cs="Arial"/>
          <w:b/>
          <w:sz w:val="24"/>
          <w:szCs w:val="24"/>
        </w:rPr>
      </w:pPr>
    </w:p>
    <w:p w:rsidR="000A2205" w:rsidRPr="004137D7" w:rsidRDefault="004137D7" w:rsidP="00BD3A47">
      <w:pPr>
        <w:jc w:val="center"/>
        <w:rPr>
          <w:rFonts w:ascii="Arial" w:hAnsi="Arial" w:cs="Arial"/>
          <w:b/>
          <w:sz w:val="24"/>
          <w:szCs w:val="24"/>
        </w:rPr>
      </w:pPr>
      <w:proofErr w:type="gramStart"/>
      <w:r>
        <w:rPr>
          <w:rFonts w:ascii="Arial" w:hAnsi="Arial" w:cs="Arial"/>
          <w:b/>
          <w:sz w:val="24"/>
          <w:szCs w:val="24"/>
        </w:rPr>
        <w:t>a</w:t>
      </w:r>
      <w:r w:rsidR="00BD3A47" w:rsidRPr="004137D7">
        <w:rPr>
          <w:rFonts w:ascii="Arial" w:hAnsi="Arial" w:cs="Arial"/>
          <w:b/>
          <w:sz w:val="24"/>
          <w:szCs w:val="24"/>
        </w:rPr>
        <w:t>nd</w:t>
      </w:r>
      <w:proofErr w:type="gramEnd"/>
      <w:r w:rsidR="00BD3A47" w:rsidRPr="004137D7">
        <w:rPr>
          <w:rFonts w:ascii="Arial" w:hAnsi="Arial" w:cs="Arial"/>
          <w:b/>
          <w:sz w:val="24"/>
          <w:szCs w:val="24"/>
        </w:rPr>
        <w:t xml:space="preserve"> </w:t>
      </w:r>
    </w:p>
    <w:p w:rsidR="000A2205" w:rsidRPr="004137D7" w:rsidRDefault="000A2205" w:rsidP="0094719B">
      <w:pPr>
        <w:rPr>
          <w:rFonts w:ascii="Arial" w:hAnsi="Arial" w:cs="Arial"/>
          <w:sz w:val="24"/>
          <w:szCs w:val="24"/>
          <w:u w:val="single"/>
        </w:rPr>
      </w:pPr>
    </w:p>
    <w:p w:rsidR="000014FE" w:rsidRDefault="00BD3A47" w:rsidP="0094719B">
      <w:pPr>
        <w:rPr>
          <w:rFonts w:ascii="Arial" w:hAnsi="Arial" w:cs="Arial"/>
          <w:b/>
          <w:sz w:val="24"/>
          <w:szCs w:val="24"/>
        </w:rPr>
      </w:pPr>
      <w:r w:rsidRPr="004137D7">
        <w:rPr>
          <w:rFonts w:ascii="Arial" w:hAnsi="Arial" w:cs="Arial"/>
          <w:b/>
          <w:sz w:val="24"/>
          <w:szCs w:val="24"/>
        </w:rPr>
        <w:t>A</w:t>
      </w:r>
      <w:r w:rsidR="005E20B2" w:rsidRPr="004137D7">
        <w:rPr>
          <w:rFonts w:ascii="Arial" w:hAnsi="Arial" w:cs="Arial"/>
          <w:b/>
          <w:sz w:val="24"/>
          <w:szCs w:val="24"/>
        </w:rPr>
        <w:t xml:space="preserve">ppendix II </w:t>
      </w:r>
      <w:r w:rsidR="000A2205" w:rsidRPr="004137D7">
        <w:rPr>
          <w:rFonts w:ascii="Arial" w:hAnsi="Arial" w:cs="Arial"/>
          <w:b/>
          <w:sz w:val="24"/>
          <w:szCs w:val="24"/>
        </w:rPr>
        <w:t>(reproduced with permission</w:t>
      </w:r>
      <w:r w:rsidR="004137D7" w:rsidRPr="004137D7">
        <w:rPr>
          <w:rFonts w:ascii="Arial" w:hAnsi="Arial" w:cs="Arial"/>
          <w:b/>
          <w:sz w:val="24"/>
          <w:szCs w:val="24"/>
        </w:rPr>
        <w:t>) is</w:t>
      </w:r>
      <w:r w:rsidRPr="004137D7">
        <w:rPr>
          <w:rFonts w:ascii="Arial" w:hAnsi="Arial" w:cs="Arial"/>
          <w:b/>
          <w:sz w:val="24"/>
          <w:szCs w:val="24"/>
        </w:rPr>
        <w:t xml:space="preserve"> </w:t>
      </w:r>
      <w:r w:rsidR="005E20B2" w:rsidRPr="004137D7">
        <w:rPr>
          <w:rFonts w:ascii="Arial" w:hAnsi="Arial" w:cs="Arial"/>
          <w:b/>
          <w:sz w:val="24"/>
          <w:szCs w:val="24"/>
        </w:rPr>
        <w:t>a</w:t>
      </w:r>
      <w:r w:rsidR="000014FE" w:rsidRPr="004137D7">
        <w:rPr>
          <w:rFonts w:ascii="Arial" w:hAnsi="Arial" w:cs="Arial"/>
          <w:b/>
          <w:sz w:val="24"/>
          <w:szCs w:val="24"/>
        </w:rPr>
        <w:t xml:space="preserve">n account of a very </w:t>
      </w:r>
      <w:r w:rsidR="005E20B2" w:rsidRPr="004137D7">
        <w:rPr>
          <w:rFonts w:ascii="Arial" w:hAnsi="Arial" w:cs="Arial"/>
          <w:b/>
          <w:sz w:val="24"/>
          <w:szCs w:val="24"/>
        </w:rPr>
        <w:t xml:space="preserve">successful model </w:t>
      </w:r>
      <w:r w:rsidR="004137D7" w:rsidRPr="004137D7">
        <w:rPr>
          <w:rFonts w:ascii="Arial" w:hAnsi="Arial" w:cs="Arial"/>
          <w:b/>
          <w:sz w:val="24"/>
          <w:szCs w:val="24"/>
        </w:rPr>
        <w:t>is</w:t>
      </w:r>
      <w:r w:rsidR="00A55F24" w:rsidRPr="004137D7">
        <w:rPr>
          <w:rFonts w:ascii="Arial" w:hAnsi="Arial" w:cs="Arial"/>
          <w:b/>
          <w:sz w:val="24"/>
          <w:szCs w:val="24"/>
        </w:rPr>
        <w:t xml:space="preserve"> described </w:t>
      </w:r>
      <w:r w:rsidR="005E20B2" w:rsidRPr="004137D7">
        <w:rPr>
          <w:rFonts w:ascii="Arial" w:hAnsi="Arial" w:cs="Arial"/>
          <w:b/>
          <w:sz w:val="24"/>
          <w:szCs w:val="24"/>
        </w:rPr>
        <w:t>by Dr Marcus van Dam, who is a GP based at Danby Surgery, North Yorkshire</w:t>
      </w:r>
      <w:r w:rsidR="000014FE" w:rsidRPr="004137D7">
        <w:rPr>
          <w:rFonts w:ascii="Arial" w:hAnsi="Arial" w:cs="Arial"/>
          <w:b/>
          <w:sz w:val="24"/>
          <w:szCs w:val="24"/>
        </w:rPr>
        <w:t xml:space="preserve"> </w:t>
      </w:r>
    </w:p>
    <w:p w:rsidR="00872147" w:rsidRPr="00872147" w:rsidRDefault="00872147" w:rsidP="0094719B">
      <w:pPr>
        <w:rPr>
          <w:rFonts w:ascii="Arial" w:hAnsi="Arial" w:cs="Arial"/>
          <w:sz w:val="24"/>
          <w:szCs w:val="24"/>
        </w:rPr>
      </w:pPr>
      <w:r w:rsidRPr="00872147">
        <w:rPr>
          <w:rFonts w:ascii="Arial" w:hAnsi="Arial" w:cs="Arial"/>
          <w:sz w:val="24"/>
          <w:szCs w:val="24"/>
        </w:rPr>
        <w:t xml:space="preserve"> (Available at…</w:t>
      </w:r>
      <w:hyperlink r:id="rId10" w:history="1">
        <w:r w:rsidRPr="00872147">
          <w:rPr>
            <w:rStyle w:val="Hyperlink"/>
            <w:rFonts w:ascii="Arial" w:hAnsi="Arial" w:cs="Arial"/>
            <w:sz w:val="24"/>
            <w:szCs w:val="24"/>
          </w:rPr>
          <w:t>https://www.rescare.org.uk/wp-content/uploads/2021/03/Obesity-and-Choice-Forum-appendix-II.pdf</w:t>
        </w:r>
      </w:hyperlink>
      <w:r w:rsidRPr="00872147">
        <w:rPr>
          <w:rFonts w:ascii="Arial" w:hAnsi="Arial" w:cs="Arial"/>
          <w:sz w:val="24"/>
          <w:szCs w:val="24"/>
        </w:rPr>
        <w:t xml:space="preserve"> )</w:t>
      </w:r>
    </w:p>
    <w:p w:rsidR="00872147" w:rsidRPr="004137D7" w:rsidRDefault="00872147" w:rsidP="0094719B">
      <w:pPr>
        <w:rPr>
          <w:rFonts w:ascii="Arial" w:hAnsi="Arial" w:cs="Arial"/>
          <w:b/>
          <w:sz w:val="24"/>
          <w:szCs w:val="24"/>
        </w:rPr>
      </w:pPr>
    </w:p>
    <w:p w:rsidR="000014FE" w:rsidRDefault="000014FE" w:rsidP="0094719B"/>
    <w:p w:rsidR="005E20B2" w:rsidRPr="005E20B2" w:rsidRDefault="000A2205" w:rsidP="0094719B">
      <w:pPr>
        <w:rPr>
          <w:rFonts w:ascii="Arial" w:hAnsi="Arial" w:cs="Arial"/>
        </w:rPr>
      </w:pPr>
      <w:r>
        <w:rPr>
          <w:rFonts w:ascii="Arial" w:hAnsi="Arial" w:cs="Arial"/>
        </w:rPr>
        <w:t>He</w:t>
      </w:r>
      <w:r w:rsidR="005E20B2" w:rsidRPr="005E20B2">
        <w:rPr>
          <w:rFonts w:ascii="Arial" w:hAnsi="Arial" w:cs="Arial"/>
        </w:rPr>
        <w:t xml:space="preserve"> describes an integrated way of living at Botton Village with many clear health benefits. He says</w:t>
      </w:r>
      <w:r w:rsidR="005E20B2">
        <w:rPr>
          <w:rFonts w:ascii="Arial" w:hAnsi="Arial" w:cs="Arial"/>
        </w:rPr>
        <w:t>:</w:t>
      </w:r>
    </w:p>
    <w:p w:rsidR="005E20B2" w:rsidRPr="005E20B2" w:rsidRDefault="005E20B2" w:rsidP="0094719B">
      <w:pPr>
        <w:rPr>
          <w:rFonts w:ascii="Arial" w:hAnsi="Arial" w:cs="Arial"/>
          <w:i/>
        </w:rPr>
      </w:pPr>
    </w:p>
    <w:p w:rsidR="000014FE" w:rsidRDefault="000014FE" w:rsidP="0094719B">
      <w:pPr>
        <w:rPr>
          <w:rFonts w:ascii="Arial" w:hAnsi="Arial" w:cs="Arial"/>
          <w:i/>
        </w:rPr>
      </w:pPr>
      <w:r w:rsidRPr="005E20B2">
        <w:rPr>
          <w:rFonts w:ascii="Arial" w:hAnsi="Arial" w:cs="Arial"/>
          <w:i/>
        </w:rPr>
        <w:t>We have seen important and relevant outcome data and the results are extremely positive. One could say that Botton has slashed the rate of obesity and mental illness by a half! There is nothing I could prescribe that would be even nearly as effective. So how did they do it? Why were so relatively few people in Botton obese or have depression, anxiety or challenging behaviour? The answer has to do with what we call the social determinants of health, which we have of course all heard about: a healthy diet, physical activity, a social network etc.</w:t>
      </w:r>
    </w:p>
    <w:p w:rsidR="000A2205" w:rsidRDefault="000A2205" w:rsidP="0094719B">
      <w:pPr>
        <w:rPr>
          <w:rFonts w:ascii="Arial" w:hAnsi="Arial" w:cs="Arial"/>
          <w:i/>
        </w:rPr>
      </w:pPr>
    </w:p>
    <w:p w:rsidR="000A2205" w:rsidRPr="004137D7" w:rsidRDefault="000A2205" w:rsidP="0094719B">
      <w:pPr>
        <w:rPr>
          <w:rFonts w:ascii="Arial" w:hAnsi="Arial" w:cs="Arial"/>
          <w:b/>
          <w:color w:val="548DD4"/>
          <w:sz w:val="24"/>
          <w:szCs w:val="24"/>
          <w:u w:val="single"/>
        </w:rPr>
      </w:pPr>
    </w:p>
    <w:p w:rsidR="000A2205" w:rsidRPr="004137D7" w:rsidRDefault="004137D7" w:rsidP="0094719B">
      <w:pPr>
        <w:rPr>
          <w:rFonts w:ascii="Arial" w:hAnsi="Arial" w:cs="Arial"/>
          <w:b/>
          <w:color w:val="4F81BD"/>
          <w:sz w:val="28"/>
          <w:szCs w:val="28"/>
        </w:rPr>
      </w:pPr>
      <w:r w:rsidRPr="004137D7">
        <w:rPr>
          <w:rFonts w:ascii="Arial" w:hAnsi="Arial" w:cs="Arial"/>
          <w:b/>
          <w:color w:val="4F81BD"/>
          <w:sz w:val="28"/>
          <w:szCs w:val="28"/>
        </w:rPr>
        <w:t>Sources</w:t>
      </w:r>
    </w:p>
    <w:p w:rsidR="000837C1" w:rsidRDefault="000837C1" w:rsidP="0094719B"/>
    <w:p w:rsidR="0094719B" w:rsidRPr="004137D7" w:rsidRDefault="000837C1" w:rsidP="0094719B">
      <w:pPr>
        <w:rPr>
          <w:rFonts w:ascii="Arial" w:hAnsi="Arial" w:cs="Arial"/>
          <w:color w:val="4F81BD"/>
          <w:sz w:val="18"/>
          <w:szCs w:val="18"/>
        </w:rPr>
      </w:pPr>
      <w:r w:rsidRPr="004137D7">
        <w:rPr>
          <w:rFonts w:ascii="Arial" w:hAnsi="Arial" w:cs="Arial"/>
          <w:color w:val="4F81BD"/>
          <w:sz w:val="18"/>
          <w:szCs w:val="18"/>
          <w:vertAlign w:val="superscript"/>
        </w:rPr>
        <w:t>1</w:t>
      </w:r>
      <w:hyperlink r:id="rId11" w:history="1">
        <w:r w:rsidRPr="004137D7">
          <w:rPr>
            <w:rStyle w:val="Hyperlink"/>
            <w:rFonts w:ascii="Arial" w:hAnsi="Arial" w:cs="Arial"/>
            <w:color w:val="4F81BD"/>
            <w:sz w:val="18"/>
            <w:szCs w:val="18"/>
          </w:rPr>
          <w:t>https://www.nice.org.uk/guidance/cg189/evidence/obesity-update-appendix-l-pdf-6960327446</w:t>
        </w:r>
      </w:hyperlink>
    </w:p>
    <w:p w:rsidR="0094719B" w:rsidRPr="004137D7" w:rsidRDefault="0094719B" w:rsidP="0094719B">
      <w:pPr>
        <w:rPr>
          <w:rFonts w:ascii="Arial" w:hAnsi="Arial" w:cs="Arial"/>
          <w:color w:val="4F81BD"/>
          <w:sz w:val="18"/>
          <w:szCs w:val="18"/>
        </w:rPr>
      </w:pPr>
    </w:p>
    <w:p w:rsidR="0094719B" w:rsidRPr="004137D7" w:rsidRDefault="000837C1" w:rsidP="00DD2083">
      <w:pPr>
        <w:rPr>
          <w:rFonts w:ascii="Arial" w:hAnsi="Arial" w:cs="Arial"/>
          <w:color w:val="4F81BD"/>
          <w:sz w:val="18"/>
          <w:szCs w:val="18"/>
          <w:shd w:val="clear" w:color="auto" w:fill="FFFFFF"/>
        </w:rPr>
      </w:pPr>
      <w:r w:rsidRPr="004137D7">
        <w:rPr>
          <w:rFonts w:ascii="Arial" w:hAnsi="Arial" w:cs="Arial"/>
          <w:color w:val="4F81BD"/>
          <w:sz w:val="18"/>
          <w:szCs w:val="18"/>
          <w:shd w:val="clear" w:color="auto" w:fill="FFFFFF"/>
          <w:vertAlign w:val="superscript"/>
        </w:rPr>
        <w:t>2</w:t>
      </w:r>
      <w:hyperlink r:id="rId12" w:anchor=":~:text=The%20PHE%20Strategy%202020%20to,over%20the%20next%205%20years" w:history="1">
        <w:r w:rsidRPr="004137D7">
          <w:rPr>
            <w:rStyle w:val="Hyperlink"/>
            <w:rFonts w:ascii="Arial" w:hAnsi="Arial" w:cs="Arial"/>
            <w:color w:val="4F81BD"/>
            <w:sz w:val="18"/>
            <w:szCs w:val="18"/>
            <w:shd w:val="clear" w:color="auto" w:fill="FFFFFF"/>
          </w:rPr>
          <w:t>https://www.gov.uk/government/publications/phe-strategy-2020-to-2025#:~:text=The%20PHE%20Strategy%202020%20to,over%20the%20next%205%20years</w:t>
        </w:r>
      </w:hyperlink>
    </w:p>
    <w:p w:rsidR="00CE283B" w:rsidRPr="004137D7" w:rsidRDefault="00CE283B" w:rsidP="00DD2083">
      <w:pPr>
        <w:rPr>
          <w:rFonts w:ascii="Arial" w:hAnsi="Arial" w:cs="Arial"/>
          <w:color w:val="4F81BD"/>
          <w:sz w:val="18"/>
          <w:szCs w:val="18"/>
          <w:shd w:val="clear" w:color="auto" w:fill="FFFFFF"/>
        </w:rPr>
      </w:pPr>
    </w:p>
    <w:p w:rsidR="00CE283B" w:rsidRPr="004137D7" w:rsidRDefault="00CE283B" w:rsidP="00DD2083">
      <w:pPr>
        <w:rPr>
          <w:rFonts w:ascii="Arial" w:eastAsia="Times New Roman" w:hAnsi="Arial" w:cs="Arial"/>
          <w:color w:val="4F81BD"/>
          <w:sz w:val="18"/>
          <w:szCs w:val="18"/>
          <w:lang w:eastAsia="en-GB"/>
        </w:rPr>
      </w:pPr>
      <w:r w:rsidRPr="004137D7">
        <w:rPr>
          <w:rFonts w:cs="Calibri"/>
          <w:color w:val="4F81BD"/>
          <w:vertAlign w:val="superscript"/>
        </w:rPr>
        <w:t>3</w:t>
      </w:r>
      <w:hyperlink r:id="rId13" w:tooltip="https://www.nhs.uk/Scorecard/Pages/IndicatorFacts.aspx?MetricId=640&amp;orgType=null" w:history="1">
        <w:r w:rsidRPr="004137D7">
          <w:rPr>
            <w:rStyle w:val="Hyperlink"/>
            <w:rFonts w:cs="Calibri"/>
            <w:color w:val="4F81BD"/>
          </w:rPr>
          <w:t>https://www.nhs.uk/Scorecard/Pages/IndicatorFacts.aspx?MetricId=640&amp;orgType=null</w:t>
        </w:r>
      </w:hyperlink>
    </w:p>
    <w:p w:rsidR="0094719B" w:rsidRPr="004137D7" w:rsidRDefault="0094719B" w:rsidP="00DD2083">
      <w:pPr>
        <w:rPr>
          <w:rFonts w:ascii="Arial" w:eastAsia="Times New Roman" w:hAnsi="Arial" w:cs="Arial"/>
          <w:color w:val="4F81BD"/>
          <w:sz w:val="18"/>
          <w:szCs w:val="18"/>
          <w:lang w:eastAsia="en-GB"/>
        </w:rPr>
      </w:pPr>
    </w:p>
    <w:p w:rsidR="000837C1" w:rsidRPr="004137D7" w:rsidRDefault="00BD3A47" w:rsidP="000837C1">
      <w:pPr>
        <w:rPr>
          <w:rFonts w:ascii="Arial" w:hAnsi="Arial" w:cs="Arial"/>
          <w:color w:val="4F81BD"/>
          <w:sz w:val="20"/>
          <w:szCs w:val="20"/>
          <w:shd w:val="clear" w:color="auto" w:fill="FFFFFF"/>
        </w:rPr>
      </w:pPr>
      <w:r w:rsidRPr="004137D7">
        <w:rPr>
          <w:rFonts w:ascii="Arial" w:hAnsi="Arial" w:cs="Arial"/>
          <w:color w:val="4F81BD"/>
          <w:sz w:val="16"/>
          <w:szCs w:val="16"/>
          <w:shd w:val="clear" w:color="auto" w:fill="FFFFFF"/>
          <w:vertAlign w:val="superscript"/>
        </w:rPr>
        <w:t xml:space="preserve">4 </w:t>
      </w:r>
      <w:hyperlink r:id="rId14" w:history="1">
        <w:r w:rsidR="000837C1" w:rsidRPr="004137D7">
          <w:rPr>
            <w:rStyle w:val="Hyperlink"/>
            <w:rFonts w:ascii="Arial" w:hAnsi="Arial" w:cs="Arial"/>
            <w:color w:val="4F81BD"/>
            <w:sz w:val="20"/>
            <w:szCs w:val="20"/>
            <w:shd w:val="clear" w:color="auto" w:fill="FFFFFF"/>
          </w:rPr>
          <w:t>https://www.gov.uk/government/publications/obesity-weight-management-and-people-with-learning-disabilities/obesity-and-weight-management-for-people-with-learning-disabilities-guidance</w:t>
        </w:r>
      </w:hyperlink>
    </w:p>
    <w:p w:rsidR="009B30F2" w:rsidRPr="004137D7" w:rsidRDefault="009B30F2" w:rsidP="00DD2083">
      <w:pPr>
        <w:rPr>
          <w:rFonts w:ascii="Arial" w:eastAsia="Times New Roman" w:hAnsi="Arial" w:cs="Arial"/>
          <w:color w:val="4F81BD"/>
          <w:sz w:val="18"/>
          <w:szCs w:val="18"/>
          <w:lang w:eastAsia="en-GB"/>
        </w:rPr>
      </w:pPr>
    </w:p>
    <w:p w:rsidR="0094719B" w:rsidRPr="004137D7" w:rsidRDefault="009B30F2" w:rsidP="00DD2083">
      <w:pPr>
        <w:rPr>
          <w:rFonts w:ascii="Arial" w:eastAsia="Times New Roman" w:hAnsi="Arial" w:cs="Arial"/>
          <w:color w:val="4F81BD"/>
          <w:sz w:val="18"/>
          <w:szCs w:val="18"/>
          <w:lang w:eastAsia="en-GB"/>
        </w:rPr>
      </w:pPr>
      <w:r w:rsidRPr="004137D7">
        <w:rPr>
          <w:rFonts w:ascii="Arial" w:eastAsia="Times New Roman" w:hAnsi="Arial" w:cs="Arial"/>
          <w:color w:val="4F81BD"/>
          <w:sz w:val="18"/>
          <w:szCs w:val="18"/>
          <w:vertAlign w:val="superscript"/>
          <w:lang w:eastAsia="en-GB"/>
        </w:rPr>
        <w:t xml:space="preserve">4 </w:t>
      </w:r>
      <w:hyperlink r:id="rId15" w:history="1">
        <w:r w:rsidRPr="004137D7">
          <w:rPr>
            <w:rStyle w:val="Hyperlink"/>
            <w:rFonts w:ascii="Arial" w:eastAsia="Times New Roman" w:hAnsi="Arial" w:cs="Arial"/>
            <w:color w:val="4F81BD"/>
            <w:sz w:val="18"/>
            <w:szCs w:val="18"/>
            <w:lang w:eastAsia="en-GB"/>
          </w:rPr>
          <w:t>https://www.ndti.org.uk/resources/publication/the-health-equality-framework-and-commissioning-guide1</w:t>
        </w:r>
      </w:hyperlink>
    </w:p>
    <w:p w:rsidR="009B30F2" w:rsidRPr="004137D7" w:rsidRDefault="009B30F2" w:rsidP="00DD2083">
      <w:pPr>
        <w:rPr>
          <w:rFonts w:ascii="Arial" w:eastAsia="Times New Roman" w:hAnsi="Arial" w:cs="Arial"/>
          <w:color w:val="4F81BD"/>
          <w:sz w:val="18"/>
          <w:szCs w:val="18"/>
          <w:lang w:eastAsia="en-GB"/>
        </w:rPr>
      </w:pPr>
    </w:p>
    <w:p w:rsidR="0094719B" w:rsidRPr="004137D7" w:rsidRDefault="0094719B" w:rsidP="00DD2083">
      <w:pPr>
        <w:rPr>
          <w:rFonts w:ascii="Arial" w:eastAsia="Times New Roman" w:hAnsi="Arial" w:cs="Arial"/>
          <w:color w:val="4F81BD"/>
          <w:sz w:val="18"/>
          <w:szCs w:val="18"/>
          <w:lang w:eastAsia="en-GB"/>
        </w:rPr>
      </w:pPr>
    </w:p>
    <w:p w:rsidR="0094719B" w:rsidRPr="004137D7" w:rsidRDefault="009B30F2" w:rsidP="00DD2083">
      <w:pPr>
        <w:rPr>
          <w:rFonts w:ascii="Arial" w:eastAsia="Times New Roman" w:hAnsi="Arial" w:cs="Arial"/>
          <w:color w:val="4F81BD"/>
          <w:sz w:val="18"/>
          <w:szCs w:val="18"/>
          <w:lang w:eastAsia="en-GB"/>
        </w:rPr>
      </w:pPr>
      <w:r w:rsidRPr="004137D7">
        <w:rPr>
          <w:rFonts w:ascii="Arial" w:hAnsi="Arial" w:cs="Arial"/>
          <w:b/>
          <w:color w:val="4F81BD"/>
          <w:sz w:val="18"/>
          <w:szCs w:val="18"/>
          <w:vertAlign w:val="superscript"/>
        </w:rPr>
        <w:t>5</w:t>
      </w:r>
      <w:hyperlink r:id="rId16" w:history="1">
        <w:r w:rsidR="0094719B" w:rsidRPr="004137D7">
          <w:rPr>
            <w:rStyle w:val="Hyperlink"/>
            <w:rFonts w:ascii="Arial" w:hAnsi="Arial" w:cs="Arial"/>
            <w:color w:val="4F81BD"/>
            <w:sz w:val="18"/>
            <w:szCs w:val="18"/>
          </w:rPr>
          <w:t>https://www.cwt.org.uk/wp-content/uploads/2015/02/EWLDGuidelines.pdf</w:t>
        </w:r>
      </w:hyperlink>
      <w:r w:rsidR="0094719B" w:rsidRPr="004137D7">
        <w:rPr>
          <w:rFonts w:ascii="Arial" w:hAnsi="Arial" w:cs="Arial"/>
          <w:color w:val="4F81BD"/>
          <w:sz w:val="18"/>
          <w:szCs w:val="18"/>
        </w:rPr>
        <w:t xml:space="preserve">  </w:t>
      </w:r>
      <w:hyperlink r:id="rId17" w:history="1">
        <w:r w:rsidR="0094719B" w:rsidRPr="004137D7">
          <w:rPr>
            <w:rStyle w:val="Hyperlink"/>
            <w:rFonts w:ascii="Arial" w:hAnsi="Arial" w:cs="Arial"/>
            <w:color w:val="4F81BD"/>
            <w:sz w:val="18"/>
            <w:szCs w:val="18"/>
          </w:rPr>
          <w:t>info@cwt.org.uk&lt;</w:t>
        </w:r>
      </w:hyperlink>
    </w:p>
    <w:p w:rsidR="0094719B" w:rsidRPr="004137D7" w:rsidRDefault="0094719B" w:rsidP="00DD2083">
      <w:pPr>
        <w:rPr>
          <w:rFonts w:ascii="Arial" w:eastAsia="Times New Roman" w:hAnsi="Arial" w:cs="Arial"/>
          <w:color w:val="4F81BD"/>
          <w:sz w:val="18"/>
          <w:szCs w:val="18"/>
          <w:lang w:eastAsia="en-GB"/>
        </w:rPr>
      </w:pPr>
    </w:p>
    <w:p w:rsidR="00214277" w:rsidRPr="004137D7" w:rsidRDefault="00BD3A47" w:rsidP="00DD2083">
      <w:pPr>
        <w:rPr>
          <w:color w:val="4F81BD"/>
          <w:sz w:val="18"/>
          <w:szCs w:val="18"/>
        </w:rPr>
      </w:pPr>
      <w:r w:rsidRPr="004137D7">
        <w:rPr>
          <w:rFonts w:ascii="Arial" w:eastAsia="Times New Roman" w:hAnsi="Arial" w:cs="Arial"/>
          <w:color w:val="4F81BD"/>
          <w:sz w:val="18"/>
          <w:szCs w:val="18"/>
          <w:vertAlign w:val="superscript"/>
          <w:lang w:eastAsia="en-GB"/>
        </w:rPr>
        <w:t>6</w:t>
      </w:r>
      <w:hyperlink r:id="rId18" w:tgtFrame="_blank" w:history="1">
        <w:r w:rsidR="00D22F80" w:rsidRPr="004137D7">
          <w:rPr>
            <w:rFonts w:ascii="Arial" w:eastAsia="Times New Roman" w:hAnsi="Arial" w:cs="Arial"/>
            <w:color w:val="4F81BD"/>
            <w:sz w:val="18"/>
            <w:szCs w:val="18"/>
            <w:u w:val="single"/>
            <w:lang w:eastAsia="en-GB"/>
          </w:rPr>
          <w:t>https://www.england.nhs.uk/rightcare/2017/11/21/the-need-for-reasonable-adjustments-for-people-with-a-learning-disability-and-diabetes/</w:t>
        </w:r>
      </w:hyperlink>
      <w:r w:rsidR="00D22F80" w:rsidRPr="004137D7">
        <w:rPr>
          <w:rFonts w:ascii="Arial" w:eastAsia="Times New Roman" w:hAnsi="Arial" w:cs="Arial"/>
          <w:color w:val="4F81BD"/>
          <w:sz w:val="18"/>
          <w:szCs w:val="18"/>
          <w:lang w:eastAsia="en-GB"/>
        </w:rPr>
        <w:t> </w:t>
      </w:r>
    </w:p>
    <w:sectPr w:rsidR="00214277" w:rsidRPr="004137D7" w:rsidSect="009036EC">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6F" w:rsidRDefault="0081766F" w:rsidP="009036EC">
      <w:r>
        <w:separator/>
      </w:r>
    </w:p>
  </w:endnote>
  <w:endnote w:type="continuationSeparator" w:id="0">
    <w:p w:rsidR="0081766F" w:rsidRDefault="0081766F" w:rsidP="0090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EC" w:rsidRDefault="009036EC">
    <w:pPr>
      <w:pStyle w:val="Footer"/>
      <w:jc w:val="center"/>
    </w:pPr>
    <w:r>
      <w:fldChar w:fldCharType="begin"/>
    </w:r>
    <w:r>
      <w:instrText xml:space="preserve"> PAGE   \* MERGEFORMAT </w:instrText>
    </w:r>
    <w:r>
      <w:fldChar w:fldCharType="separate"/>
    </w:r>
    <w:r w:rsidR="005D6779">
      <w:rPr>
        <w:noProof/>
      </w:rPr>
      <w:t>4</w:t>
    </w:r>
    <w:r>
      <w:fldChar w:fldCharType="end"/>
    </w:r>
  </w:p>
  <w:p w:rsidR="009036EC" w:rsidRDefault="0090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6F" w:rsidRDefault="0081766F" w:rsidP="009036EC">
      <w:r>
        <w:separator/>
      </w:r>
    </w:p>
  </w:footnote>
  <w:footnote w:type="continuationSeparator" w:id="0">
    <w:p w:rsidR="0081766F" w:rsidRDefault="0081766F" w:rsidP="0090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EC" w:rsidRPr="009036EC" w:rsidRDefault="009036EC">
    <w:pPr>
      <w:pStyle w:val="Header"/>
      <w:rPr>
        <w:rFonts w:ascii="Arial" w:hAnsi="Arial" w:cs="Arial"/>
      </w:rPr>
    </w:pPr>
    <w:r w:rsidRPr="009036EC">
      <w:rPr>
        <w:rFonts w:ascii="Arial" w:hAnsi="Arial" w:cs="Arial"/>
      </w:rPr>
      <w:t xml:space="preserve">Rescare Forum     </w:t>
    </w:r>
    <w:r w:rsidR="00DD2083">
      <w:rPr>
        <w:rFonts w:ascii="Arial" w:hAnsi="Arial" w:cs="Arial"/>
      </w:rPr>
      <w:t>17</w:t>
    </w:r>
    <w:r w:rsidR="00DD2083" w:rsidRPr="00DD2083">
      <w:rPr>
        <w:rFonts w:ascii="Arial" w:hAnsi="Arial" w:cs="Arial"/>
        <w:vertAlign w:val="superscript"/>
      </w:rPr>
      <w:t>th</w:t>
    </w:r>
    <w:r w:rsidR="00DD2083">
      <w:rPr>
        <w:rFonts w:ascii="Arial" w:hAnsi="Arial" w:cs="Arial"/>
      </w:rPr>
      <w:t xml:space="preserve"> March</w:t>
    </w:r>
    <w:r w:rsidRPr="009036EC">
      <w:rPr>
        <w:rFonts w:ascii="Arial" w:hAnsi="Arial" w:cs="Arial"/>
      </w:rPr>
      <w:t xml:space="preserve"> 2021                   Background Notes </w:t>
    </w:r>
    <w:r w:rsidR="00DD2083">
      <w:rPr>
        <w:rFonts w:ascii="Arial" w:hAnsi="Arial" w:cs="Arial"/>
      </w:rPr>
      <w:t>Obesity and Choice</w:t>
    </w:r>
    <w:r w:rsidRPr="009036EC">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5A2"/>
    <w:multiLevelType w:val="multilevel"/>
    <w:tmpl w:val="2BFE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36256"/>
    <w:multiLevelType w:val="multilevel"/>
    <w:tmpl w:val="5A92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232C7"/>
    <w:multiLevelType w:val="hybridMultilevel"/>
    <w:tmpl w:val="CA9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C7428"/>
    <w:multiLevelType w:val="multilevel"/>
    <w:tmpl w:val="E5AE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02AF4"/>
    <w:multiLevelType w:val="multilevel"/>
    <w:tmpl w:val="0E5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53941"/>
    <w:multiLevelType w:val="multilevel"/>
    <w:tmpl w:val="4DB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027D8"/>
    <w:multiLevelType w:val="multilevel"/>
    <w:tmpl w:val="A570390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7" w15:restartNumberingAfterBreak="0">
    <w:nsid w:val="1A125206"/>
    <w:multiLevelType w:val="hybridMultilevel"/>
    <w:tmpl w:val="24DA36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89F0563"/>
    <w:multiLevelType w:val="multilevel"/>
    <w:tmpl w:val="2B5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E668DC"/>
    <w:multiLevelType w:val="hybridMultilevel"/>
    <w:tmpl w:val="4136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40354"/>
    <w:multiLevelType w:val="multilevel"/>
    <w:tmpl w:val="D4EC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F569EE"/>
    <w:multiLevelType w:val="multilevel"/>
    <w:tmpl w:val="5FC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F71BA"/>
    <w:multiLevelType w:val="multilevel"/>
    <w:tmpl w:val="2E66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D21040"/>
    <w:multiLevelType w:val="multilevel"/>
    <w:tmpl w:val="4CEE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94186"/>
    <w:multiLevelType w:val="hybridMultilevel"/>
    <w:tmpl w:val="EAF0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B2F66"/>
    <w:multiLevelType w:val="multilevel"/>
    <w:tmpl w:val="3CC4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312A4C"/>
    <w:multiLevelType w:val="multilevel"/>
    <w:tmpl w:val="EB5A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A47B3A"/>
    <w:multiLevelType w:val="multilevel"/>
    <w:tmpl w:val="649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50964"/>
    <w:multiLevelType w:val="multilevel"/>
    <w:tmpl w:val="F9EA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7"/>
  </w:num>
  <w:num w:numId="4">
    <w:abstractNumId w:val="13"/>
  </w:num>
  <w:num w:numId="5">
    <w:abstractNumId w:val="2"/>
  </w:num>
  <w:num w:numId="6">
    <w:abstractNumId w:val="8"/>
  </w:num>
  <w:num w:numId="7">
    <w:abstractNumId w:val="10"/>
  </w:num>
  <w:num w:numId="8">
    <w:abstractNumId w:val="5"/>
  </w:num>
  <w:num w:numId="9">
    <w:abstractNumId w:val="0"/>
  </w:num>
  <w:num w:numId="10">
    <w:abstractNumId w:val="11"/>
  </w:num>
  <w:num w:numId="11">
    <w:abstractNumId w:val="1"/>
  </w:num>
  <w:num w:numId="12">
    <w:abstractNumId w:val="16"/>
  </w:num>
  <w:num w:numId="13">
    <w:abstractNumId w:val="3"/>
  </w:num>
  <w:num w:numId="14">
    <w:abstractNumId w:val="15"/>
  </w:num>
  <w:num w:numId="15">
    <w:abstractNumId w:val="18"/>
  </w:num>
  <w:num w:numId="16">
    <w:abstractNumId w:val="7"/>
  </w:num>
  <w:num w:numId="17">
    <w:abstractNumId w:val="4"/>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32"/>
    <w:rsid w:val="000014FE"/>
    <w:rsid w:val="0001179F"/>
    <w:rsid w:val="000837C1"/>
    <w:rsid w:val="0009124F"/>
    <w:rsid w:val="000925A5"/>
    <w:rsid w:val="000A2205"/>
    <w:rsid w:val="000B30E9"/>
    <w:rsid w:val="000C1063"/>
    <w:rsid w:val="000C627B"/>
    <w:rsid w:val="001040DD"/>
    <w:rsid w:val="00133A6A"/>
    <w:rsid w:val="00172E7E"/>
    <w:rsid w:val="001D3EA7"/>
    <w:rsid w:val="001D6E22"/>
    <w:rsid w:val="00214277"/>
    <w:rsid w:val="00216733"/>
    <w:rsid w:val="002402BB"/>
    <w:rsid w:val="002751B9"/>
    <w:rsid w:val="002B26F4"/>
    <w:rsid w:val="002D44A2"/>
    <w:rsid w:val="002D53E3"/>
    <w:rsid w:val="002E2DC5"/>
    <w:rsid w:val="002E30F3"/>
    <w:rsid w:val="00321FB2"/>
    <w:rsid w:val="00381373"/>
    <w:rsid w:val="003851D3"/>
    <w:rsid w:val="003D797E"/>
    <w:rsid w:val="003E6F8C"/>
    <w:rsid w:val="003F1171"/>
    <w:rsid w:val="004137D7"/>
    <w:rsid w:val="004244D4"/>
    <w:rsid w:val="0048299F"/>
    <w:rsid w:val="004B1D8E"/>
    <w:rsid w:val="004C23F3"/>
    <w:rsid w:val="00540AEB"/>
    <w:rsid w:val="00553D3F"/>
    <w:rsid w:val="005D6779"/>
    <w:rsid w:val="005E1094"/>
    <w:rsid w:val="005E20B2"/>
    <w:rsid w:val="005E4C62"/>
    <w:rsid w:val="005F2955"/>
    <w:rsid w:val="006724DF"/>
    <w:rsid w:val="006D4890"/>
    <w:rsid w:val="006E13D1"/>
    <w:rsid w:val="0070243D"/>
    <w:rsid w:val="007026D2"/>
    <w:rsid w:val="0079584D"/>
    <w:rsid w:val="007F560B"/>
    <w:rsid w:val="0081766F"/>
    <w:rsid w:val="008230E8"/>
    <w:rsid w:val="008267AD"/>
    <w:rsid w:val="00846FDB"/>
    <w:rsid w:val="00872147"/>
    <w:rsid w:val="00894E0C"/>
    <w:rsid w:val="009036EC"/>
    <w:rsid w:val="00923BA7"/>
    <w:rsid w:val="0094719B"/>
    <w:rsid w:val="009A765C"/>
    <w:rsid w:val="009B30F2"/>
    <w:rsid w:val="00A244A8"/>
    <w:rsid w:val="00A55F24"/>
    <w:rsid w:val="00A704F7"/>
    <w:rsid w:val="00AA10E3"/>
    <w:rsid w:val="00AA6228"/>
    <w:rsid w:val="00AB15BF"/>
    <w:rsid w:val="00B06706"/>
    <w:rsid w:val="00B26A26"/>
    <w:rsid w:val="00B331FF"/>
    <w:rsid w:val="00BD325F"/>
    <w:rsid w:val="00BD3A47"/>
    <w:rsid w:val="00C353A9"/>
    <w:rsid w:val="00CA743C"/>
    <w:rsid w:val="00CB2F82"/>
    <w:rsid w:val="00CE283B"/>
    <w:rsid w:val="00CF5679"/>
    <w:rsid w:val="00D22F80"/>
    <w:rsid w:val="00D81A32"/>
    <w:rsid w:val="00DD0632"/>
    <w:rsid w:val="00DD2083"/>
    <w:rsid w:val="00DE175B"/>
    <w:rsid w:val="00E32E99"/>
    <w:rsid w:val="00E36209"/>
    <w:rsid w:val="00E71674"/>
    <w:rsid w:val="00E90455"/>
    <w:rsid w:val="00F0124E"/>
    <w:rsid w:val="00F06E34"/>
    <w:rsid w:val="00F35C4E"/>
    <w:rsid w:val="00F71F77"/>
    <w:rsid w:val="00F7458C"/>
    <w:rsid w:val="00F80E7C"/>
    <w:rsid w:val="00F83CE1"/>
    <w:rsid w:val="00FD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8AC3F-1987-46A1-BBB6-290E9292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99"/>
    <w:rPr>
      <w:sz w:val="22"/>
      <w:szCs w:val="22"/>
      <w:lang w:eastAsia="en-US"/>
    </w:rPr>
  </w:style>
  <w:style w:type="paragraph" w:styleId="Heading2">
    <w:name w:val="heading 2"/>
    <w:basedOn w:val="Normal"/>
    <w:next w:val="Normal"/>
    <w:link w:val="Heading2Char"/>
    <w:uiPriority w:val="9"/>
    <w:semiHidden/>
    <w:unhideWhenUsed/>
    <w:qFormat/>
    <w:rsid w:val="00E90455"/>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DD0632"/>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553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632"/>
    <w:rPr>
      <w:color w:val="0000FF"/>
      <w:u w:val="single"/>
    </w:rPr>
  </w:style>
  <w:style w:type="character" w:styleId="FollowedHyperlink">
    <w:name w:val="FollowedHyperlink"/>
    <w:basedOn w:val="DefaultParagraphFont"/>
    <w:uiPriority w:val="99"/>
    <w:semiHidden/>
    <w:unhideWhenUsed/>
    <w:rsid w:val="00DD0632"/>
    <w:rPr>
      <w:color w:val="800080"/>
      <w:u w:val="single"/>
    </w:rPr>
  </w:style>
  <w:style w:type="character" w:customStyle="1" w:styleId="Heading3Char">
    <w:name w:val="Heading 3 Char"/>
    <w:basedOn w:val="DefaultParagraphFont"/>
    <w:link w:val="Heading3"/>
    <w:uiPriority w:val="9"/>
    <w:rsid w:val="00DD0632"/>
    <w:rPr>
      <w:rFonts w:ascii="Times New Roman" w:eastAsia="Times New Roman" w:hAnsi="Times New Roman" w:cs="Times New Roman"/>
      <w:b/>
      <w:bCs/>
      <w:sz w:val="27"/>
      <w:szCs w:val="27"/>
      <w:lang w:eastAsia="en-GB"/>
    </w:rPr>
  </w:style>
  <w:style w:type="character" w:customStyle="1" w:styleId="postlink">
    <w:name w:val="post_link"/>
    <w:basedOn w:val="DefaultParagraphFont"/>
    <w:rsid w:val="00A244A8"/>
  </w:style>
  <w:style w:type="paragraph" w:styleId="NormalWeb">
    <w:name w:val="Normal (Web)"/>
    <w:basedOn w:val="Normal"/>
    <w:uiPriority w:val="99"/>
    <w:unhideWhenUsed/>
    <w:rsid w:val="00C353A9"/>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C353A9"/>
    <w:rPr>
      <w:b/>
      <w:bCs/>
    </w:rPr>
  </w:style>
  <w:style w:type="character" w:styleId="Emphasis">
    <w:name w:val="Emphasis"/>
    <w:basedOn w:val="DefaultParagraphFont"/>
    <w:uiPriority w:val="20"/>
    <w:qFormat/>
    <w:rsid w:val="00321FB2"/>
    <w:rPr>
      <w:i/>
      <w:iCs/>
    </w:rPr>
  </w:style>
  <w:style w:type="paragraph" w:styleId="ListParagraph">
    <w:name w:val="List Paragraph"/>
    <w:basedOn w:val="Normal"/>
    <w:uiPriority w:val="34"/>
    <w:qFormat/>
    <w:rsid w:val="00E90455"/>
    <w:pPr>
      <w:ind w:left="720"/>
      <w:contextualSpacing/>
    </w:pPr>
  </w:style>
  <w:style w:type="character" w:customStyle="1" w:styleId="Heading2Char">
    <w:name w:val="Heading 2 Char"/>
    <w:basedOn w:val="DefaultParagraphFont"/>
    <w:link w:val="Heading2"/>
    <w:uiPriority w:val="9"/>
    <w:semiHidden/>
    <w:rsid w:val="00E90455"/>
    <w:rPr>
      <w:rFonts w:ascii="Cambria" w:eastAsia="Times New Roman" w:hAnsi="Cambria" w:cs="Times New Roman"/>
      <w:b/>
      <w:bCs/>
      <w:color w:val="4F81BD"/>
      <w:sz w:val="26"/>
      <w:szCs w:val="26"/>
    </w:rPr>
  </w:style>
  <w:style w:type="paragraph" w:customStyle="1" w:styleId="bodytext1014approvedfactsheetstyles">
    <w:name w:val="bodytext1014approvedfactsheetstyles"/>
    <w:basedOn w:val="Normal"/>
    <w:rsid w:val="00E90455"/>
    <w:pPr>
      <w:spacing w:before="100" w:beforeAutospacing="1" w:after="100" w:afterAutospacing="1"/>
    </w:pPr>
    <w:rPr>
      <w:rFonts w:ascii="Times New Roman" w:eastAsia="Times New Roman" w:hAnsi="Times New Roman"/>
      <w:sz w:val="24"/>
      <w:szCs w:val="24"/>
      <w:lang w:eastAsia="en-GB"/>
    </w:rPr>
  </w:style>
  <w:style w:type="paragraph" w:customStyle="1" w:styleId="b-headapprovedfactsheetstyles">
    <w:name w:val="b-headapprovedfactsheetstyles"/>
    <w:basedOn w:val="Normal"/>
    <w:rsid w:val="00E90455"/>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9036EC"/>
    <w:pPr>
      <w:tabs>
        <w:tab w:val="center" w:pos="4513"/>
        <w:tab w:val="right" w:pos="9026"/>
      </w:tabs>
    </w:pPr>
  </w:style>
  <w:style w:type="character" w:customStyle="1" w:styleId="HeaderChar">
    <w:name w:val="Header Char"/>
    <w:basedOn w:val="DefaultParagraphFont"/>
    <w:link w:val="Header"/>
    <w:uiPriority w:val="99"/>
    <w:semiHidden/>
    <w:rsid w:val="009036EC"/>
    <w:rPr>
      <w:sz w:val="22"/>
      <w:szCs w:val="22"/>
      <w:lang w:eastAsia="en-US"/>
    </w:rPr>
  </w:style>
  <w:style w:type="paragraph" w:styleId="Footer">
    <w:name w:val="footer"/>
    <w:basedOn w:val="Normal"/>
    <w:link w:val="FooterChar"/>
    <w:uiPriority w:val="99"/>
    <w:unhideWhenUsed/>
    <w:rsid w:val="009036EC"/>
    <w:pPr>
      <w:tabs>
        <w:tab w:val="center" w:pos="4513"/>
        <w:tab w:val="right" w:pos="9026"/>
      </w:tabs>
    </w:pPr>
  </w:style>
  <w:style w:type="character" w:customStyle="1" w:styleId="FooterChar">
    <w:name w:val="Footer Char"/>
    <w:basedOn w:val="DefaultParagraphFont"/>
    <w:link w:val="Footer"/>
    <w:uiPriority w:val="99"/>
    <w:rsid w:val="009036EC"/>
    <w:rPr>
      <w:sz w:val="22"/>
      <w:szCs w:val="22"/>
      <w:lang w:eastAsia="en-US"/>
    </w:rPr>
  </w:style>
  <w:style w:type="character" w:customStyle="1" w:styleId="Heading4Char">
    <w:name w:val="Heading 4 Char"/>
    <w:basedOn w:val="DefaultParagraphFont"/>
    <w:link w:val="Heading4"/>
    <w:uiPriority w:val="9"/>
    <w:semiHidden/>
    <w:rsid w:val="00553D3F"/>
    <w:rPr>
      <w:rFonts w:ascii="Calibri" w:eastAsia="Times New Roman" w:hAnsi="Calibri" w:cs="Times New Roman"/>
      <w:b/>
      <w:bCs/>
      <w:sz w:val="28"/>
      <w:szCs w:val="28"/>
      <w:lang w:eastAsia="en-US"/>
    </w:rPr>
  </w:style>
  <w:style w:type="character" w:customStyle="1" w:styleId="legds">
    <w:name w:val="legds"/>
    <w:basedOn w:val="DefaultParagraphFont"/>
    <w:rsid w:val="00553D3F"/>
  </w:style>
  <w:style w:type="paragraph" w:customStyle="1" w:styleId="legclearfix">
    <w:name w:val="legclearfix"/>
    <w:basedOn w:val="Normal"/>
    <w:rsid w:val="00553D3F"/>
    <w:pPr>
      <w:spacing w:before="100" w:beforeAutospacing="1" w:after="100" w:afterAutospacing="1"/>
    </w:pPr>
    <w:rPr>
      <w:rFonts w:ascii="Times New Roman" w:eastAsia="Times New Roman" w:hAnsi="Times New Roman"/>
      <w:sz w:val="24"/>
      <w:szCs w:val="24"/>
      <w:lang w:eastAsia="en-GB"/>
    </w:rPr>
  </w:style>
  <w:style w:type="paragraph" w:customStyle="1" w:styleId="legp1paratext">
    <w:name w:val="legp1paratext"/>
    <w:basedOn w:val="Normal"/>
    <w:rsid w:val="005F2955"/>
    <w:pPr>
      <w:spacing w:before="100" w:beforeAutospacing="1" w:after="100" w:afterAutospacing="1"/>
    </w:pPr>
    <w:rPr>
      <w:rFonts w:ascii="Times New Roman" w:eastAsia="Times New Roman" w:hAnsi="Times New Roman"/>
      <w:sz w:val="24"/>
      <w:szCs w:val="24"/>
      <w:lang w:eastAsia="en-GB"/>
    </w:rPr>
  </w:style>
  <w:style w:type="character" w:customStyle="1" w:styleId="legp1no">
    <w:name w:val="legp1no"/>
    <w:basedOn w:val="DefaultParagraphFont"/>
    <w:rsid w:val="005F2955"/>
  </w:style>
  <w:style w:type="paragraph" w:customStyle="1" w:styleId="legtext">
    <w:name w:val="legtext"/>
    <w:basedOn w:val="Normal"/>
    <w:rsid w:val="005F2955"/>
    <w:pPr>
      <w:spacing w:before="100" w:beforeAutospacing="1" w:after="100" w:afterAutospacing="1"/>
    </w:pPr>
    <w:rPr>
      <w:rFonts w:ascii="Times New Roman" w:eastAsia="Times New Roman" w:hAnsi="Times New Roman"/>
      <w:sz w:val="24"/>
      <w:szCs w:val="24"/>
      <w:lang w:eastAsia="en-GB"/>
    </w:rPr>
  </w:style>
  <w:style w:type="paragraph" w:customStyle="1" w:styleId="legp2paratext">
    <w:name w:val="legp2paratext"/>
    <w:basedOn w:val="Normal"/>
    <w:rsid w:val="005F2955"/>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C1063"/>
    <w:rPr>
      <w:rFonts w:ascii="Tahoma" w:hAnsi="Tahoma" w:cs="Tahoma"/>
      <w:sz w:val="16"/>
      <w:szCs w:val="16"/>
    </w:rPr>
  </w:style>
  <w:style w:type="character" w:customStyle="1" w:styleId="BalloonTextChar">
    <w:name w:val="Balloon Text Char"/>
    <w:basedOn w:val="DefaultParagraphFont"/>
    <w:link w:val="BalloonText"/>
    <w:uiPriority w:val="99"/>
    <w:semiHidden/>
    <w:rsid w:val="000C1063"/>
    <w:rPr>
      <w:rFonts w:ascii="Tahoma" w:hAnsi="Tahoma" w:cs="Tahoma"/>
      <w:sz w:val="16"/>
      <w:szCs w:val="16"/>
      <w:lang w:eastAsia="en-US"/>
    </w:rPr>
  </w:style>
  <w:style w:type="character" w:customStyle="1" w:styleId="acopre">
    <w:name w:val="acopre"/>
    <w:basedOn w:val="DefaultParagraphFont"/>
    <w:rsid w:val="00F83CE1"/>
  </w:style>
  <w:style w:type="character" w:styleId="HTMLCite">
    <w:name w:val="HTML Cite"/>
    <w:basedOn w:val="DefaultParagraphFont"/>
    <w:uiPriority w:val="99"/>
    <w:semiHidden/>
    <w:unhideWhenUsed/>
    <w:rsid w:val="00F83CE1"/>
    <w:rPr>
      <w:i/>
      <w:iCs/>
    </w:rPr>
  </w:style>
  <w:style w:type="character" w:customStyle="1" w:styleId="dyjrff">
    <w:name w:val="dyjrff"/>
    <w:basedOn w:val="DefaultParagraphFont"/>
    <w:rsid w:val="00F8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470">
      <w:bodyDiv w:val="1"/>
      <w:marLeft w:val="0"/>
      <w:marRight w:val="0"/>
      <w:marTop w:val="0"/>
      <w:marBottom w:val="0"/>
      <w:divBdr>
        <w:top w:val="none" w:sz="0" w:space="0" w:color="auto"/>
        <w:left w:val="none" w:sz="0" w:space="0" w:color="auto"/>
        <w:bottom w:val="none" w:sz="0" w:space="0" w:color="auto"/>
        <w:right w:val="none" w:sz="0" w:space="0" w:color="auto"/>
      </w:divBdr>
    </w:div>
    <w:div w:id="33771522">
      <w:bodyDiv w:val="1"/>
      <w:marLeft w:val="0"/>
      <w:marRight w:val="0"/>
      <w:marTop w:val="0"/>
      <w:marBottom w:val="0"/>
      <w:divBdr>
        <w:top w:val="none" w:sz="0" w:space="0" w:color="auto"/>
        <w:left w:val="none" w:sz="0" w:space="0" w:color="auto"/>
        <w:bottom w:val="none" w:sz="0" w:space="0" w:color="auto"/>
        <w:right w:val="none" w:sz="0" w:space="0" w:color="auto"/>
      </w:divBdr>
    </w:div>
    <w:div w:id="39018822">
      <w:bodyDiv w:val="1"/>
      <w:marLeft w:val="0"/>
      <w:marRight w:val="0"/>
      <w:marTop w:val="0"/>
      <w:marBottom w:val="0"/>
      <w:divBdr>
        <w:top w:val="none" w:sz="0" w:space="0" w:color="auto"/>
        <w:left w:val="none" w:sz="0" w:space="0" w:color="auto"/>
        <w:bottom w:val="none" w:sz="0" w:space="0" w:color="auto"/>
        <w:right w:val="none" w:sz="0" w:space="0" w:color="auto"/>
      </w:divBdr>
    </w:div>
    <w:div w:id="80106189">
      <w:bodyDiv w:val="1"/>
      <w:marLeft w:val="0"/>
      <w:marRight w:val="0"/>
      <w:marTop w:val="0"/>
      <w:marBottom w:val="0"/>
      <w:divBdr>
        <w:top w:val="none" w:sz="0" w:space="0" w:color="auto"/>
        <w:left w:val="none" w:sz="0" w:space="0" w:color="auto"/>
        <w:bottom w:val="none" w:sz="0" w:space="0" w:color="auto"/>
        <w:right w:val="none" w:sz="0" w:space="0" w:color="auto"/>
      </w:divBdr>
      <w:divsChild>
        <w:div w:id="193540456">
          <w:marLeft w:val="0"/>
          <w:marRight w:val="0"/>
          <w:marTop w:val="0"/>
          <w:marBottom w:val="0"/>
          <w:divBdr>
            <w:top w:val="none" w:sz="0" w:space="0" w:color="auto"/>
            <w:left w:val="none" w:sz="0" w:space="0" w:color="auto"/>
            <w:bottom w:val="none" w:sz="0" w:space="0" w:color="auto"/>
            <w:right w:val="none" w:sz="0" w:space="0" w:color="auto"/>
          </w:divBdr>
        </w:div>
        <w:div w:id="993414149">
          <w:marLeft w:val="0"/>
          <w:marRight w:val="0"/>
          <w:marTop w:val="0"/>
          <w:marBottom w:val="0"/>
          <w:divBdr>
            <w:top w:val="none" w:sz="0" w:space="0" w:color="auto"/>
            <w:left w:val="none" w:sz="0" w:space="0" w:color="auto"/>
            <w:bottom w:val="none" w:sz="0" w:space="0" w:color="auto"/>
            <w:right w:val="none" w:sz="0" w:space="0" w:color="auto"/>
          </w:divBdr>
        </w:div>
        <w:div w:id="1050885082">
          <w:marLeft w:val="0"/>
          <w:marRight w:val="0"/>
          <w:marTop w:val="0"/>
          <w:marBottom w:val="0"/>
          <w:divBdr>
            <w:top w:val="none" w:sz="0" w:space="0" w:color="auto"/>
            <w:left w:val="none" w:sz="0" w:space="0" w:color="auto"/>
            <w:bottom w:val="none" w:sz="0" w:space="0" w:color="auto"/>
            <w:right w:val="none" w:sz="0" w:space="0" w:color="auto"/>
          </w:divBdr>
          <w:divsChild>
            <w:div w:id="1722631107">
              <w:marLeft w:val="0"/>
              <w:marRight w:val="0"/>
              <w:marTop w:val="0"/>
              <w:marBottom w:val="0"/>
              <w:divBdr>
                <w:top w:val="none" w:sz="0" w:space="0" w:color="auto"/>
                <w:left w:val="none" w:sz="0" w:space="0" w:color="auto"/>
                <w:bottom w:val="none" w:sz="0" w:space="0" w:color="auto"/>
                <w:right w:val="none" w:sz="0" w:space="0" w:color="auto"/>
              </w:divBdr>
              <w:divsChild>
                <w:div w:id="9063036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4250599">
      <w:bodyDiv w:val="1"/>
      <w:marLeft w:val="0"/>
      <w:marRight w:val="0"/>
      <w:marTop w:val="0"/>
      <w:marBottom w:val="0"/>
      <w:divBdr>
        <w:top w:val="none" w:sz="0" w:space="0" w:color="auto"/>
        <w:left w:val="none" w:sz="0" w:space="0" w:color="auto"/>
        <w:bottom w:val="none" w:sz="0" w:space="0" w:color="auto"/>
        <w:right w:val="none" w:sz="0" w:space="0" w:color="auto"/>
      </w:divBdr>
    </w:div>
    <w:div w:id="156582829">
      <w:bodyDiv w:val="1"/>
      <w:marLeft w:val="0"/>
      <w:marRight w:val="0"/>
      <w:marTop w:val="0"/>
      <w:marBottom w:val="0"/>
      <w:divBdr>
        <w:top w:val="none" w:sz="0" w:space="0" w:color="auto"/>
        <w:left w:val="none" w:sz="0" w:space="0" w:color="auto"/>
        <w:bottom w:val="none" w:sz="0" w:space="0" w:color="auto"/>
        <w:right w:val="none" w:sz="0" w:space="0" w:color="auto"/>
      </w:divBdr>
    </w:div>
    <w:div w:id="216597143">
      <w:bodyDiv w:val="1"/>
      <w:marLeft w:val="0"/>
      <w:marRight w:val="0"/>
      <w:marTop w:val="0"/>
      <w:marBottom w:val="0"/>
      <w:divBdr>
        <w:top w:val="none" w:sz="0" w:space="0" w:color="auto"/>
        <w:left w:val="none" w:sz="0" w:space="0" w:color="auto"/>
        <w:bottom w:val="none" w:sz="0" w:space="0" w:color="auto"/>
        <w:right w:val="none" w:sz="0" w:space="0" w:color="auto"/>
      </w:divBdr>
    </w:div>
    <w:div w:id="384107659">
      <w:bodyDiv w:val="1"/>
      <w:marLeft w:val="0"/>
      <w:marRight w:val="0"/>
      <w:marTop w:val="0"/>
      <w:marBottom w:val="0"/>
      <w:divBdr>
        <w:top w:val="none" w:sz="0" w:space="0" w:color="auto"/>
        <w:left w:val="none" w:sz="0" w:space="0" w:color="auto"/>
        <w:bottom w:val="none" w:sz="0" w:space="0" w:color="auto"/>
        <w:right w:val="none" w:sz="0" w:space="0" w:color="auto"/>
      </w:divBdr>
    </w:div>
    <w:div w:id="581645620">
      <w:bodyDiv w:val="1"/>
      <w:marLeft w:val="0"/>
      <w:marRight w:val="0"/>
      <w:marTop w:val="0"/>
      <w:marBottom w:val="0"/>
      <w:divBdr>
        <w:top w:val="none" w:sz="0" w:space="0" w:color="auto"/>
        <w:left w:val="none" w:sz="0" w:space="0" w:color="auto"/>
        <w:bottom w:val="none" w:sz="0" w:space="0" w:color="auto"/>
        <w:right w:val="none" w:sz="0" w:space="0" w:color="auto"/>
      </w:divBdr>
    </w:div>
    <w:div w:id="773475722">
      <w:bodyDiv w:val="1"/>
      <w:marLeft w:val="0"/>
      <w:marRight w:val="0"/>
      <w:marTop w:val="0"/>
      <w:marBottom w:val="0"/>
      <w:divBdr>
        <w:top w:val="none" w:sz="0" w:space="0" w:color="auto"/>
        <w:left w:val="none" w:sz="0" w:space="0" w:color="auto"/>
        <w:bottom w:val="none" w:sz="0" w:space="0" w:color="auto"/>
        <w:right w:val="none" w:sz="0" w:space="0" w:color="auto"/>
      </w:divBdr>
    </w:div>
    <w:div w:id="812023344">
      <w:bodyDiv w:val="1"/>
      <w:marLeft w:val="0"/>
      <w:marRight w:val="0"/>
      <w:marTop w:val="0"/>
      <w:marBottom w:val="0"/>
      <w:divBdr>
        <w:top w:val="none" w:sz="0" w:space="0" w:color="auto"/>
        <w:left w:val="none" w:sz="0" w:space="0" w:color="auto"/>
        <w:bottom w:val="none" w:sz="0" w:space="0" w:color="auto"/>
        <w:right w:val="none" w:sz="0" w:space="0" w:color="auto"/>
      </w:divBdr>
    </w:div>
    <w:div w:id="963579275">
      <w:bodyDiv w:val="1"/>
      <w:marLeft w:val="0"/>
      <w:marRight w:val="0"/>
      <w:marTop w:val="0"/>
      <w:marBottom w:val="0"/>
      <w:divBdr>
        <w:top w:val="none" w:sz="0" w:space="0" w:color="auto"/>
        <w:left w:val="none" w:sz="0" w:space="0" w:color="auto"/>
        <w:bottom w:val="none" w:sz="0" w:space="0" w:color="auto"/>
        <w:right w:val="none" w:sz="0" w:space="0" w:color="auto"/>
      </w:divBdr>
    </w:div>
    <w:div w:id="1000237291">
      <w:bodyDiv w:val="1"/>
      <w:marLeft w:val="0"/>
      <w:marRight w:val="0"/>
      <w:marTop w:val="0"/>
      <w:marBottom w:val="0"/>
      <w:divBdr>
        <w:top w:val="none" w:sz="0" w:space="0" w:color="auto"/>
        <w:left w:val="none" w:sz="0" w:space="0" w:color="auto"/>
        <w:bottom w:val="none" w:sz="0" w:space="0" w:color="auto"/>
        <w:right w:val="none" w:sz="0" w:space="0" w:color="auto"/>
      </w:divBdr>
    </w:div>
    <w:div w:id="1133674265">
      <w:bodyDiv w:val="1"/>
      <w:marLeft w:val="0"/>
      <w:marRight w:val="0"/>
      <w:marTop w:val="0"/>
      <w:marBottom w:val="0"/>
      <w:divBdr>
        <w:top w:val="none" w:sz="0" w:space="0" w:color="auto"/>
        <w:left w:val="none" w:sz="0" w:space="0" w:color="auto"/>
        <w:bottom w:val="none" w:sz="0" w:space="0" w:color="auto"/>
        <w:right w:val="none" w:sz="0" w:space="0" w:color="auto"/>
      </w:divBdr>
    </w:div>
    <w:div w:id="1172793455">
      <w:bodyDiv w:val="1"/>
      <w:marLeft w:val="0"/>
      <w:marRight w:val="0"/>
      <w:marTop w:val="0"/>
      <w:marBottom w:val="0"/>
      <w:divBdr>
        <w:top w:val="none" w:sz="0" w:space="0" w:color="auto"/>
        <w:left w:val="none" w:sz="0" w:space="0" w:color="auto"/>
        <w:bottom w:val="none" w:sz="0" w:space="0" w:color="auto"/>
        <w:right w:val="none" w:sz="0" w:space="0" w:color="auto"/>
      </w:divBdr>
    </w:div>
    <w:div w:id="1175414348">
      <w:bodyDiv w:val="1"/>
      <w:marLeft w:val="0"/>
      <w:marRight w:val="0"/>
      <w:marTop w:val="0"/>
      <w:marBottom w:val="0"/>
      <w:divBdr>
        <w:top w:val="none" w:sz="0" w:space="0" w:color="auto"/>
        <w:left w:val="none" w:sz="0" w:space="0" w:color="auto"/>
        <w:bottom w:val="none" w:sz="0" w:space="0" w:color="auto"/>
        <w:right w:val="none" w:sz="0" w:space="0" w:color="auto"/>
      </w:divBdr>
    </w:div>
    <w:div w:id="1181160643">
      <w:bodyDiv w:val="1"/>
      <w:marLeft w:val="0"/>
      <w:marRight w:val="0"/>
      <w:marTop w:val="0"/>
      <w:marBottom w:val="0"/>
      <w:divBdr>
        <w:top w:val="none" w:sz="0" w:space="0" w:color="auto"/>
        <w:left w:val="none" w:sz="0" w:space="0" w:color="auto"/>
        <w:bottom w:val="none" w:sz="0" w:space="0" w:color="auto"/>
        <w:right w:val="none" w:sz="0" w:space="0" w:color="auto"/>
      </w:divBdr>
    </w:div>
    <w:div w:id="1329137826">
      <w:bodyDiv w:val="1"/>
      <w:marLeft w:val="0"/>
      <w:marRight w:val="0"/>
      <w:marTop w:val="0"/>
      <w:marBottom w:val="0"/>
      <w:divBdr>
        <w:top w:val="none" w:sz="0" w:space="0" w:color="auto"/>
        <w:left w:val="none" w:sz="0" w:space="0" w:color="auto"/>
        <w:bottom w:val="none" w:sz="0" w:space="0" w:color="auto"/>
        <w:right w:val="none" w:sz="0" w:space="0" w:color="auto"/>
      </w:divBdr>
      <w:divsChild>
        <w:div w:id="169757144">
          <w:marLeft w:val="0"/>
          <w:marRight w:val="0"/>
          <w:marTop w:val="0"/>
          <w:marBottom w:val="420"/>
          <w:divBdr>
            <w:top w:val="none" w:sz="0" w:space="0" w:color="auto"/>
            <w:left w:val="none" w:sz="0" w:space="0" w:color="auto"/>
            <w:bottom w:val="none" w:sz="0" w:space="0" w:color="auto"/>
            <w:right w:val="none" w:sz="0" w:space="0" w:color="auto"/>
          </w:divBdr>
          <w:divsChild>
            <w:div w:id="174656069">
              <w:marLeft w:val="0"/>
              <w:marRight w:val="0"/>
              <w:marTop w:val="0"/>
              <w:marBottom w:val="0"/>
              <w:divBdr>
                <w:top w:val="none" w:sz="0" w:space="0" w:color="auto"/>
                <w:left w:val="none" w:sz="0" w:space="0" w:color="auto"/>
                <w:bottom w:val="none" w:sz="0" w:space="0" w:color="auto"/>
                <w:right w:val="none" w:sz="0" w:space="0" w:color="auto"/>
              </w:divBdr>
              <w:divsChild>
                <w:div w:id="1937784359">
                  <w:marLeft w:val="0"/>
                  <w:marRight w:val="0"/>
                  <w:marTop w:val="0"/>
                  <w:marBottom w:val="0"/>
                  <w:divBdr>
                    <w:top w:val="none" w:sz="0" w:space="0" w:color="auto"/>
                    <w:left w:val="none" w:sz="0" w:space="0" w:color="auto"/>
                    <w:bottom w:val="none" w:sz="0" w:space="0" w:color="auto"/>
                    <w:right w:val="none" w:sz="0" w:space="0" w:color="auto"/>
                  </w:divBdr>
                  <w:divsChild>
                    <w:div w:id="14496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3730">
          <w:marLeft w:val="0"/>
          <w:marRight w:val="0"/>
          <w:marTop w:val="0"/>
          <w:marBottom w:val="420"/>
          <w:divBdr>
            <w:top w:val="none" w:sz="0" w:space="0" w:color="auto"/>
            <w:left w:val="none" w:sz="0" w:space="0" w:color="auto"/>
            <w:bottom w:val="none" w:sz="0" w:space="0" w:color="auto"/>
            <w:right w:val="none" w:sz="0" w:space="0" w:color="auto"/>
          </w:divBdr>
          <w:divsChild>
            <w:div w:id="1011033737">
              <w:marLeft w:val="0"/>
              <w:marRight w:val="0"/>
              <w:marTop w:val="0"/>
              <w:marBottom w:val="0"/>
              <w:divBdr>
                <w:top w:val="none" w:sz="0" w:space="0" w:color="auto"/>
                <w:left w:val="none" w:sz="0" w:space="0" w:color="auto"/>
                <w:bottom w:val="none" w:sz="0" w:space="0" w:color="auto"/>
                <w:right w:val="none" w:sz="0" w:space="0" w:color="auto"/>
              </w:divBdr>
              <w:divsChild>
                <w:div w:id="362365471">
                  <w:marLeft w:val="0"/>
                  <w:marRight w:val="0"/>
                  <w:marTop w:val="0"/>
                  <w:marBottom w:val="0"/>
                  <w:divBdr>
                    <w:top w:val="none" w:sz="0" w:space="0" w:color="auto"/>
                    <w:left w:val="none" w:sz="0" w:space="0" w:color="auto"/>
                    <w:bottom w:val="none" w:sz="0" w:space="0" w:color="auto"/>
                    <w:right w:val="none" w:sz="0" w:space="0" w:color="auto"/>
                  </w:divBdr>
                  <w:divsChild>
                    <w:div w:id="159077299">
                      <w:marLeft w:val="0"/>
                      <w:marRight w:val="0"/>
                      <w:marTop w:val="0"/>
                      <w:marBottom w:val="0"/>
                      <w:divBdr>
                        <w:top w:val="none" w:sz="0" w:space="0" w:color="auto"/>
                        <w:left w:val="none" w:sz="0" w:space="0" w:color="auto"/>
                        <w:bottom w:val="none" w:sz="0" w:space="0" w:color="auto"/>
                        <w:right w:val="none" w:sz="0" w:space="0" w:color="auto"/>
                      </w:divBdr>
                    </w:div>
                    <w:div w:id="1453014017">
                      <w:marLeft w:val="0"/>
                      <w:marRight w:val="0"/>
                      <w:marTop w:val="0"/>
                      <w:marBottom w:val="0"/>
                      <w:divBdr>
                        <w:top w:val="none" w:sz="0" w:space="0" w:color="auto"/>
                        <w:left w:val="none" w:sz="0" w:space="0" w:color="auto"/>
                        <w:bottom w:val="none" w:sz="0" w:space="0" w:color="auto"/>
                        <w:right w:val="none" w:sz="0" w:space="0" w:color="auto"/>
                      </w:divBdr>
                      <w:divsChild>
                        <w:div w:id="1614944777">
                          <w:marLeft w:val="0"/>
                          <w:marRight w:val="0"/>
                          <w:marTop w:val="0"/>
                          <w:marBottom w:val="0"/>
                          <w:divBdr>
                            <w:top w:val="none" w:sz="0" w:space="0" w:color="auto"/>
                            <w:left w:val="none" w:sz="0" w:space="0" w:color="auto"/>
                            <w:bottom w:val="none" w:sz="0" w:space="0" w:color="auto"/>
                            <w:right w:val="none" w:sz="0" w:space="0" w:color="auto"/>
                          </w:divBdr>
                          <w:divsChild>
                            <w:div w:id="21127030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612672">
      <w:bodyDiv w:val="1"/>
      <w:marLeft w:val="0"/>
      <w:marRight w:val="0"/>
      <w:marTop w:val="0"/>
      <w:marBottom w:val="0"/>
      <w:divBdr>
        <w:top w:val="none" w:sz="0" w:space="0" w:color="auto"/>
        <w:left w:val="none" w:sz="0" w:space="0" w:color="auto"/>
        <w:bottom w:val="none" w:sz="0" w:space="0" w:color="auto"/>
        <w:right w:val="none" w:sz="0" w:space="0" w:color="auto"/>
      </w:divBdr>
    </w:div>
    <w:div w:id="1675690114">
      <w:bodyDiv w:val="1"/>
      <w:marLeft w:val="0"/>
      <w:marRight w:val="0"/>
      <w:marTop w:val="0"/>
      <w:marBottom w:val="0"/>
      <w:divBdr>
        <w:top w:val="none" w:sz="0" w:space="0" w:color="auto"/>
        <w:left w:val="none" w:sz="0" w:space="0" w:color="auto"/>
        <w:bottom w:val="none" w:sz="0" w:space="0" w:color="auto"/>
        <w:right w:val="none" w:sz="0" w:space="0" w:color="auto"/>
      </w:divBdr>
    </w:div>
    <w:div w:id="1911110318">
      <w:bodyDiv w:val="1"/>
      <w:marLeft w:val="0"/>
      <w:marRight w:val="0"/>
      <w:marTop w:val="0"/>
      <w:marBottom w:val="0"/>
      <w:divBdr>
        <w:top w:val="none" w:sz="0" w:space="0" w:color="auto"/>
        <w:left w:val="none" w:sz="0" w:space="0" w:color="auto"/>
        <w:bottom w:val="none" w:sz="0" w:space="0" w:color="auto"/>
        <w:right w:val="none" w:sz="0" w:space="0" w:color="auto"/>
      </w:divBdr>
    </w:div>
    <w:div w:id="1946693441">
      <w:bodyDiv w:val="1"/>
      <w:marLeft w:val="0"/>
      <w:marRight w:val="0"/>
      <w:marTop w:val="0"/>
      <w:marBottom w:val="0"/>
      <w:divBdr>
        <w:top w:val="none" w:sz="0" w:space="0" w:color="auto"/>
        <w:left w:val="none" w:sz="0" w:space="0" w:color="auto"/>
        <w:bottom w:val="none" w:sz="0" w:space="0" w:color="auto"/>
        <w:right w:val="none" w:sz="0" w:space="0" w:color="auto"/>
      </w:divBdr>
    </w:div>
    <w:div w:id="2041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t.org.uk/wp-content/uploads/2015/02/EWLDGuidelines.pdf" TargetMode="External"/><Relationship Id="rId13" Type="http://schemas.openxmlformats.org/officeDocument/2006/relationships/hyperlink" Target="https://www.nhs.uk/Scorecard/Pages/IndicatorFacts.aspx?MetricId=640&amp;orgType=null" TargetMode="External"/><Relationship Id="rId18" Type="http://schemas.openxmlformats.org/officeDocument/2006/relationships/hyperlink" Target="https://www.england.nhs.uk/rightcare/2017/11/21/the-need-for-reasonable-adjustments-for-people-with-a-learning-disability-and-diabet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phe-strategy-2020-to-2025" TargetMode="External"/><Relationship Id="rId17" Type="http://schemas.openxmlformats.org/officeDocument/2006/relationships/hyperlink" Target="mailto:info@cwt.org.uk%3c" TargetMode="External"/><Relationship Id="rId2" Type="http://schemas.openxmlformats.org/officeDocument/2006/relationships/styles" Target="styles.xml"/><Relationship Id="rId16" Type="http://schemas.openxmlformats.org/officeDocument/2006/relationships/hyperlink" Target="https://www.cwt.org.uk/wp-content/uploads/2015/02/EWLDGuideline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cg189/evidence/obesity-update-appendix-l-pdf-6960327446" TargetMode="External"/><Relationship Id="rId5" Type="http://schemas.openxmlformats.org/officeDocument/2006/relationships/footnotes" Target="footnotes.xml"/><Relationship Id="rId15" Type="http://schemas.openxmlformats.org/officeDocument/2006/relationships/hyperlink" Target="https://www.ndti.org.uk/resources/publication/the-health-equality-framework-and-commissioning-guide1" TargetMode="External"/><Relationship Id="rId10" Type="http://schemas.openxmlformats.org/officeDocument/2006/relationships/hyperlink" Target="https://www.rescare.org.uk/wp-content/uploads/2021/03/Obesity-and-Choice-Forum-appendix-II.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scare.org.uk/wp-content/uploads/2021/03/Obesity-and-Choice-Forum-appendix-I.docx" TargetMode="External"/><Relationship Id="rId14" Type="http://schemas.openxmlformats.org/officeDocument/2006/relationships/hyperlink" Target="https://www.gov.uk/government/publications/obesity-weight-management-and-people-with-learning-disabilities/obesity-and-weight-management-for-people-with-learning-disabilities-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Links>
    <vt:vector size="54" baseType="variant">
      <vt:variant>
        <vt:i4>3145838</vt:i4>
      </vt:variant>
      <vt:variant>
        <vt:i4>24</vt:i4>
      </vt:variant>
      <vt:variant>
        <vt:i4>0</vt:i4>
      </vt:variant>
      <vt:variant>
        <vt:i4>5</vt:i4>
      </vt:variant>
      <vt:variant>
        <vt:lpwstr>https://www.england.nhs.uk/rightcare/2017/11/21/the-need-for-reasonable-adjustments-for-people-with-a-learning-disability-and-diabetes/</vt:lpwstr>
      </vt:variant>
      <vt:variant>
        <vt:lpwstr/>
      </vt:variant>
      <vt:variant>
        <vt:i4>7340036</vt:i4>
      </vt:variant>
      <vt:variant>
        <vt:i4>21</vt:i4>
      </vt:variant>
      <vt:variant>
        <vt:i4>0</vt:i4>
      </vt:variant>
      <vt:variant>
        <vt:i4>5</vt:i4>
      </vt:variant>
      <vt:variant>
        <vt:lpwstr>mailto:info@cwt.org.uk%3C</vt:lpwstr>
      </vt:variant>
      <vt:variant>
        <vt:lpwstr/>
      </vt:variant>
      <vt:variant>
        <vt:i4>852056</vt:i4>
      </vt:variant>
      <vt:variant>
        <vt:i4>18</vt:i4>
      </vt:variant>
      <vt:variant>
        <vt:i4>0</vt:i4>
      </vt:variant>
      <vt:variant>
        <vt:i4>5</vt:i4>
      </vt:variant>
      <vt:variant>
        <vt:lpwstr>https://www.cwt.org.uk/wp-content/uploads/2015/02/EWLDGuidelines.pdf</vt:lpwstr>
      </vt:variant>
      <vt:variant>
        <vt:lpwstr/>
      </vt:variant>
      <vt:variant>
        <vt:i4>720902</vt:i4>
      </vt:variant>
      <vt:variant>
        <vt:i4>15</vt:i4>
      </vt:variant>
      <vt:variant>
        <vt:i4>0</vt:i4>
      </vt:variant>
      <vt:variant>
        <vt:i4>5</vt:i4>
      </vt:variant>
      <vt:variant>
        <vt:lpwstr>https://www.ndti.org.uk/resources/publication/the-health-equality-framework-and-commissioning-guide1</vt:lpwstr>
      </vt:variant>
      <vt:variant>
        <vt:lpwstr/>
      </vt:variant>
      <vt:variant>
        <vt:i4>2556019</vt:i4>
      </vt:variant>
      <vt:variant>
        <vt:i4>12</vt:i4>
      </vt:variant>
      <vt:variant>
        <vt:i4>0</vt:i4>
      </vt:variant>
      <vt:variant>
        <vt:i4>5</vt:i4>
      </vt:variant>
      <vt:variant>
        <vt:lpwstr>https://www.gov.uk/government/publications/obesity-weight-management-and-people-with-learning-disabilities/obesity-and-weight-management-for-people-with-learning-disabilities-guidance</vt:lpwstr>
      </vt:variant>
      <vt:variant>
        <vt:lpwstr/>
      </vt:variant>
      <vt:variant>
        <vt:i4>4259922</vt:i4>
      </vt:variant>
      <vt:variant>
        <vt:i4>9</vt:i4>
      </vt:variant>
      <vt:variant>
        <vt:i4>0</vt:i4>
      </vt:variant>
      <vt:variant>
        <vt:i4>5</vt:i4>
      </vt:variant>
      <vt:variant>
        <vt:lpwstr>https://www.nhs.uk/Scorecard/Pages/IndicatorFacts.aspx?MetricId=640&amp;orgType=null</vt:lpwstr>
      </vt:variant>
      <vt:variant>
        <vt:lpwstr/>
      </vt:variant>
      <vt:variant>
        <vt:i4>6946862</vt:i4>
      </vt:variant>
      <vt:variant>
        <vt:i4>6</vt:i4>
      </vt:variant>
      <vt:variant>
        <vt:i4>0</vt:i4>
      </vt:variant>
      <vt:variant>
        <vt:i4>5</vt:i4>
      </vt:variant>
      <vt:variant>
        <vt:lpwstr>https://www.gov.uk/government/publications/phe-strategy-2020-to-2025</vt:lpwstr>
      </vt:variant>
      <vt:variant>
        <vt:lpwstr>:~:text=The%20PHE%20Strategy%202020%20to,over%20the%20next%205%20years</vt:lpwstr>
      </vt:variant>
      <vt:variant>
        <vt:i4>1572879</vt:i4>
      </vt:variant>
      <vt:variant>
        <vt:i4>3</vt:i4>
      </vt:variant>
      <vt:variant>
        <vt:i4>0</vt:i4>
      </vt:variant>
      <vt:variant>
        <vt:i4>5</vt:i4>
      </vt:variant>
      <vt:variant>
        <vt:lpwstr>https://www.nice.org.uk/guidance/cg189/evidence/obesity-update-appendix-l-pdf-6960327446</vt:lpwstr>
      </vt:variant>
      <vt:variant>
        <vt:lpwstr/>
      </vt:variant>
      <vt:variant>
        <vt:i4>852056</vt:i4>
      </vt:variant>
      <vt:variant>
        <vt:i4>0</vt:i4>
      </vt:variant>
      <vt:variant>
        <vt:i4>0</vt:i4>
      </vt:variant>
      <vt:variant>
        <vt:i4>5</vt:i4>
      </vt:variant>
      <vt:variant>
        <vt:lpwstr>https://www.cwt.org.uk/wp-content/uploads/2015/02/EWLDGuidelines.pdf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Katie Booth</dc:creator>
  <cp:keywords/>
  <cp:lastModifiedBy>helpline@rescare.org.uk</cp:lastModifiedBy>
  <cp:revision>5</cp:revision>
  <cp:lastPrinted>2021-03-09T09:36:00Z</cp:lastPrinted>
  <dcterms:created xsi:type="dcterms:W3CDTF">2021-03-10T09:29:00Z</dcterms:created>
  <dcterms:modified xsi:type="dcterms:W3CDTF">2021-03-10T09:41:00Z</dcterms:modified>
</cp:coreProperties>
</file>